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315" w:rsidRDefault="004C4315" w:rsidP="00E42879">
      <w:pPr>
        <w:autoSpaceDE w:val="0"/>
        <w:autoSpaceDN w:val="0"/>
        <w:adjustRightInd w:val="0"/>
        <w:spacing w:line="360" w:lineRule="auto"/>
        <w:jc w:val="center"/>
        <w:rPr>
          <w:rFonts w:ascii="Times New Roman" w:hAnsi="Times New Roman"/>
          <w:b/>
          <w:bCs/>
          <w:lang w:val="ru-RU"/>
        </w:rPr>
      </w:pPr>
    </w:p>
    <w:p w:rsidR="00D50F55" w:rsidRDefault="00E42879" w:rsidP="00E42879">
      <w:pPr>
        <w:autoSpaceDE w:val="0"/>
        <w:autoSpaceDN w:val="0"/>
        <w:adjustRightInd w:val="0"/>
        <w:spacing w:line="360" w:lineRule="auto"/>
        <w:jc w:val="center"/>
        <w:rPr>
          <w:rFonts w:ascii="Times New Roman" w:hAnsi="Times New Roman"/>
          <w:b/>
          <w:bCs/>
          <w:sz w:val="32"/>
          <w:szCs w:val="32"/>
          <w:lang w:val="ru-RU"/>
        </w:rPr>
      </w:pPr>
      <w:r w:rsidRPr="004C4315">
        <w:rPr>
          <w:rFonts w:ascii="Times New Roman" w:hAnsi="Times New Roman"/>
          <w:b/>
          <w:bCs/>
          <w:sz w:val="32"/>
          <w:szCs w:val="32"/>
          <w:lang w:val="ru-RU"/>
        </w:rPr>
        <w:t>М</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Е</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Т</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О</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Д</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И</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К</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А</w:t>
      </w:r>
      <w:r w:rsidR="004C4315">
        <w:rPr>
          <w:rFonts w:ascii="Times New Roman" w:hAnsi="Times New Roman"/>
          <w:b/>
          <w:bCs/>
          <w:sz w:val="32"/>
          <w:szCs w:val="32"/>
          <w:lang w:val="ru-RU"/>
        </w:rPr>
        <w:t xml:space="preserve"> </w:t>
      </w:r>
    </w:p>
    <w:p w:rsidR="00E42879" w:rsidRPr="004C4315" w:rsidRDefault="00D50F55" w:rsidP="00E42879">
      <w:pPr>
        <w:autoSpaceDE w:val="0"/>
        <w:autoSpaceDN w:val="0"/>
        <w:adjustRightInd w:val="0"/>
        <w:spacing w:line="360" w:lineRule="auto"/>
        <w:jc w:val="center"/>
        <w:rPr>
          <w:rFonts w:ascii="Times New Roman" w:hAnsi="Times New Roman"/>
          <w:b/>
          <w:bCs/>
          <w:sz w:val="32"/>
          <w:szCs w:val="32"/>
          <w:lang w:val="ru-RU"/>
        </w:rPr>
      </w:pPr>
      <w:r>
        <w:rPr>
          <w:rFonts w:ascii="Times New Roman" w:hAnsi="Times New Roman"/>
          <w:b/>
          <w:bCs/>
          <w:sz w:val="32"/>
          <w:szCs w:val="32"/>
          <w:lang w:val="ru-RU"/>
        </w:rPr>
        <w:t>З</w:t>
      </w:r>
      <w:r w:rsidR="004C4315">
        <w:rPr>
          <w:rFonts w:ascii="Times New Roman" w:hAnsi="Times New Roman"/>
          <w:b/>
          <w:bCs/>
          <w:sz w:val="32"/>
          <w:szCs w:val="32"/>
          <w:lang w:val="ru-RU"/>
        </w:rPr>
        <w:t xml:space="preserve"> </w:t>
      </w:r>
      <w:r w:rsidR="00E42879" w:rsidRPr="004C4315">
        <w:rPr>
          <w:rFonts w:ascii="Times New Roman" w:hAnsi="Times New Roman"/>
          <w:b/>
          <w:bCs/>
          <w:sz w:val="32"/>
          <w:szCs w:val="32"/>
          <w:lang w:val="ru-RU"/>
        </w:rPr>
        <w:t>А</w:t>
      </w:r>
    </w:p>
    <w:p w:rsidR="00E42879" w:rsidRPr="004C4315" w:rsidRDefault="00E42879" w:rsidP="00E42879">
      <w:pPr>
        <w:autoSpaceDE w:val="0"/>
        <w:autoSpaceDN w:val="0"/>
        <w:adjustRightInd w:val="0"/>
        <w:spacing w:line="360" w:lineRule="auto"/>
        <w:jc w:val="center"/>
        <w:rPr>
          <w:rFonts w:ascii="Times New Roman" w:hAnsi="Times New Roman"/>
          <w:b/>
          <w:bCs/>
          <w:sz w:val="32"/>
          <w:szCs w:val="32"/>
          <w:lang w:val="ru-RU"/>
        </w:rPr>
      </w:pPr>
      <w:r w:rsidRPr="004C4315">
        <w:rPr>
          <w:rFonts w:ascii="Times New Roman" w:hAnsi="Times New Roman"/>
          <w:b/>
          <w:bCs/>
          <w:sz w:val="32"/>
          <w:szCs w:val="32"/>
          <w:lang w:val="ru-RU"/>
        </w:rPr>
        <w:t>О</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Ц</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Е</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Н</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К</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А</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 xml:space="preserve"> </w:t>
      </w:r>
      <w:r w:rsidR="00577069" w:rsidRPr="004C4315">
        <w:rPr>
          <w:rFonts w:ascii="Times New Roman" w:hAnsi="Times New Roman"/>
          <w:b/>
          <w:bCs/>
          <w:sz w:val="32"/>
          <w:szCs w:val="32"/>
          <w:lang w:val="ru-RU"/>
        </w:rPr>
        <w:t>И</w:t>
      </w:r>
      <w:r w:rsidR="004C4315">
        <w:rPr>
          <w:rFonts w:ascii="Times New Roman" w:hAnsi="Times New Roman"/>
          <w:b/>
          <w:bCs/>
          <w:sz w:val="32"/>
          <w:szCs w:val="32"/>
          <w:lang w:val="ru-RU"/>
        </w:rPr>
        <w:t xml:space="preserve">  </w:t>
      </w:r>
      <w:r w:rsidR="00577069" w:rsidRPr="004C4315">
        <w:rPr>
          <w:rFonts w:ascii="Times New Roman" w:hAnsi="Times New Roman"/>
          <w:b/>
          <w:bCs/>
          <w:sz w:val="32"/>
          <w:szCs w:val="32"/>
          <w:lang w:val="ru-RU"/>
        </w:rPr>
        <w:t xml:space="preserve"> К</w:t>
      </w:r>
      <w:r w:rsidR="004C4315">
        <w:rPr>
          <w:rFonts w:ascii="Times New Roman" w:hAnsi="Times New Roman"/>
          <w:b/>
          <w:bCs/>
          <w:sz w:val="32"/>
          <w:szCs w:val="32"/>
          <w:lang w:val="ru-RU"/>
        </w:rPr>
        <w:t xml:space="preserve"> </w:t>
      </w:r>
      <w:r w:rsidR="00577069" w:rsidRPr="004C4315">
        <w:rPr>
          <w:rFonts w:ascii="Times New Roman" w:hAnsi="Times New Roman"/>
          <w:b/>
          <w:bCs/>
          <w:sz w:val="32"/>
          <w:szCs w:val="32"/>
          <w:lang w:val="ru-RU"/>
        </w:rPr>
        <w:t>Л</w:t>
      </w:r>
      <w:r w:rsidR="004C4315">
        <w:rPr>
          <w:rFonts w:ascii="Times New Roman" w:hAnsi="Times New Roman"/>
          <w:b/>
          <w:bCs/>
          <w:sz w:val="32"/>
          <w:szCs w:val="32"/>
          <w:lang w:val="ru-RU"/>
        </w:rPr>
        <w:t xml:space="preserve"> </w:t>
      </w:r>
      <w:r w:rsidR="00577069" w:rsidRPr="004C4315">
        <w:rPr>
          <w:rFonts w:ascii="Times New Roman" w:hAnsi="Times New Roman"/>
          <w:b/>
          <w:bCs/>
          <w:sz w:val="32"/>
          <w:szCs w:val="32"/>
          <w:lang w:val="ru-RU"/>
        </w:rPr>
        <w:t>А</w:t>
      </w:r>
      <w:r w:rsidR="004C4315">
        <w:rPr>
          <w:rFonts w:ascii="Times New Roman" w:hAnsi="Times New Roman"/>
          <w:b/>
          <w:bCs/>
          <w:sz w:val="32"/>
          <w:szCs w:val="32"/>
          <w:lang w:val="ru-RU"/>
        </w:rPr>
        <w:t xml:space="preserve"> </w:t>
      </w:r>
      <w:r w:rsidR="00577069" w:rsidRPr="004C4315">
        <w:rPr>
          <w:rFonts w:ascii="Times New Roman" w:hAnsi="Times New Roman"/>
          <w:b/>
          <w:bCs/>
          <w:sz w:val="32"/>
          <w:szCs w:val="32"/>
          <w:lang w:val="ru-RU"/>
        </w:rPr>
        <w:t>С</w:t>
      </w:r>
      <w:r w:rsidR="004C4315">
        <w:rPr>
          <w:rFonts w:ascii="Times New Roman" w:hAnsi="Times New Roman"/>
          <w:b/>
          <w:bCs/>
          <w:sz w:val="32"/>
          <w:szCs w:val="32"/>
          <w:lang w:val="ru-RU"/>
        </w:rPr>
        <w:t xml:space="preserve"> </w:t>
      </w:r>
      <w:r w:rsidR="00577069" w:rsidRPr="004C4315">
        <w:rPr>
          <w:rFonts w:ascii="Times New Roman" w:hAnsi="Times New Roman"/>
          <w:b/>
          <w:bCs/>
          <w:sz w:val="32"/>
          <w:szCs w:val="32"/>
          <w:lang w:val="ru-RU"/>
        </w:rPr>
        <w:t>И</w:t>
      </w:r>
      <w:r w:rsidR="004C4315">
        <w:rPr>
          <w:rFonts w:ascii="Times New Roman" w:hAnsi="Times New Roman"/>
          <w:b/>
          <w:bCs/>
          <w:sz w:val="32"/>
          <w:szCs w:val="32"/>
          <w:lang w:val="ru-RU"/>
        </w:rPr>
        <w:t xml:space="preserve"> </w:t>
      </w:r>
      <w:r w:rsidR="00577069" w:rsidRPr="004C4315">
        <w:rPr>
          <w:rFonts w:ascii="Times New Roman" w:hAnsi="Times New Roman"/>
          <w:b/>
          <w:bCs/>
          <w:sz w:val="32"/>
          <w:szCs w:val="32"/>
          <w:lang w:val="ru-RU"/>
        </w:rPr>
        <w:t>Р</w:t>
      </w:r>
      <w:r w:rsidR="004C4315">
        <w:rPr>
          <w:rFonts w:ascii="Times New Roman" w:hAnsi="Times New Roman"/>
          <w:b/>
          <w:bCs/>
          <w:sz w:val="32"/>
          <w:szCs w:val="32"/>
          <w:lang w:val="ru-RU"/>
        </w:rPr>
        <w:t xml:space="preserve"> </w:t>
      </w:r>
      <w:r w:rsidR="00577069" w:rsidRPr="004C4315">
        <w:rPr>
          <w:rFonts w:ascii="Times New Roman" w:hAnsi="Times New Roman"/>
          <w:b/>
          <w:bCs/>
          <w:sz w:val="32"/>
          <w:szCs w:val="32"/>
          <w:lang w:val="ru-RU"/>
        </w:rPr>
        <w:t>А</w:t>
      </w:r>
      <w:r w:rsidR="004C4315">
        <w:rPr>
          <w:rFonts w:ascii="Times New Roman" w:hAnsi="Times New Roman"/>
          <w:b/>
          <w:bCs/>
          <w:sz w:val="32"/>
          <w:szCs w:val="32"/>
          <w:lang w:val="ru-RU"/>
        </w:rPr>
        <w:t xml:space="preserve"> </w:t>
      </w:r>
      <w:r w:rsidR="00577069" w:rsidRPr="004C4315">
        <w:rPr>
          <w:rFonts w:ascii="Times New Roman" w:hAnsi="Times New Roman"/>
          <w:b/>
          <w:bCs/>
          <w:sz w:val="32"/>
          <w:szCs w:val="32"/>
          <w:lang w:val="ru-RU"/>
        </w:rPr>
        <w:t>Н</w:t>
      </w:r>
      <w:r w:rsidR="004C4315">
        <w:rPr>
          <w:rFonts w:ascii="Times New Roman" w:hAnsi="Times New Roman"/>
          <w:b/>
          <w:bCs/>
          <w:sz w:val="32"/>
          <w:szCs w:val="32"/>
          <w:lang w:val="ru-RU"/>
        </w:rPr>
        <w:t xml:space="preserve"> </w:t>
      </w:r>
      <w:r w:rsidR="00577069" w:rsidRPr="004C4315">
        <w:rPr>
          <w:rFonts w:ascii="Times New Roman" w:hAnsi="Times New Roman"/>
          <w:b/>
          <w:bCs/>
          <w:sz w:val="32"/>
          <w:szCs w:val="32"/>
          <w:lang w:val="ru-RU"/>
        </w:rPr>
        <w:t>Е</w:t>
      </w:r>
      <w:r w:rsidR="004C4315">
        <w:rPr>
          <w:rFonts w:ascii="Times New Roman" w:hAnsi="Times New Roman"/>
          <w:b/>
          <w:bCs/>
          <w:sz w:val="32"/>
          <w:szCs w:val="32"/>
          <w:lang w:val="ru-RU"/>
        </w:rPr>
        <w:t xml:space="preserve">  </w:t>
      </w:r>
      <w:r w:rsidR="00577069" w:rsidRPr="004C4315">
        <w:rPr>
          <w:rFonts w:ascii="Times New Roman" w:hAnsi="Times New Roman"/>
          <w:b/>
          <w:bCs/>
          <w:sz w:val="32"/>
          <w:szCs w:val="32"/>
          <w:lang w:val="ru-RU"/>
        </w:rPr>
        <w:t xml:space="preserve"> </w:t>
      </w:r>
      <w:r w:rsidRPr="004C4315">
        <w:rPr>
          <w:rFonts w:ascii="Times New Roman" w:hAnsi="Times New Roman"/>
          <w:b/>
          <w:bCs/>
          <w:sz w:val="32"/>
          <w:szCs w:val="32"/>
          <w:lang w:val="ru-RU"/>
        </w:rPr>
        <w:t>Н</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 xml:space="preserve">А </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О</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Ф</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Е</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Р</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Т</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И</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Т</w:t>
      </w:r>
      <w:r w:rsidR="004C4315">
        <w:rPr>
          <w:rFonts w:ascii="Times New Roman" w:hAnsi="Times New Roman"/>
          <w:b/>
          <w:bCs/>
          <w:sz w:val="32"/>
          <w:szCs w:val="32"/>
          <w:lang w:val="ru-RU"/>
        </w:rPr>
        <w:t xml:space="preserve"> </w:t>
      </w:r>
      <w:r w:rsidRPr="004C4315">
        <w:rPr>
          <w:rFonts w:ascii="Times New Roman" w:hAnsi="Times New Roman"/>
          <w:b/>
          <w:bCs/>
          <w:sz w:val="32"/>
          <w:szCs w:val="32"/>
          <w:lang w:val="ru-RU"/>
        </w:rPr>
        <w:t xml:space="preserve">Е </w:t>
      </w:r>
    </w:p>
    <w:p w:rsidR="00E5577B" w:rsidRDefault="00E5577B" w:rsidP="00A7367D">
      <w:pPr>
        <w:pStyle w:val="Header"/>
        <w:tabs>
          <w:tab w:val="center" w:pos="4421"/>
          <w:tab w:val="left" w:pos="7725"/>
        </w:tabs>
        <w:spacing w:line="276" w:lineRule="auto"/>
        <w:rPr>
          <w:rFonts w:ascii="Times New Roman" w:hAnsi="Times New Roman"/>
          <w:szCs w:val="24"/>
        </w:rPr>
      </w:pPr>
    </w:p>
    <w:p w:rsidR="00711586" w:rsidRPr="009A3510" w:rsidRDefault="00711586" w:rsidP="00A7367D">
      <w:pPr>
        <w:pStyle w:val="Header"/>
        <w:tabs>
          <w:tab w:val="center" w:pos="4421"/>
          <w:tab w:val="left" w:pos="7725"/>
        </w:tabs>
        <w:spacing w:line="276" w:lineRule="auto"/>
        <w:jc w:val="both"/>
        <w:rPr>
          <w:rFonts w:ascii="Times New Roman" w:hAnsi="Times New Roman"/>
          <w:bCs/>
          <w:szCs w:val="24"/>
          <w:shd w:val="clear" w:color="auto" w:fill="FFFFFF"/>
          <w:lang w:val="en-US"/>
        </w:rPr>
      </w:pPr>
      <w:r w:rsidRPr="009A3510">
        <w:rPr>
          <w:rFonts w:ascii="Times New Roman" w:hAnsi="Times New Roman"/>
          <w:szCs w:val="24"/>
        </w:rPr>
        <w:t xml:space="preserve">В </w:t>
      </w:r>
      <w:r w:rsidR="00547282" w:rsidRPr="009A3510">
        <w:rPr>
          <w:rFonts w:ascii="Times New Roman" w:hAnsi="Times New Roman"/>
          <w:szCs w:val="24"/>
        </w:rPr>
        <w:t>процедура</w:t>
      </w:r>
      <w:r w:rsidRPr="009A3510">
        <w:rPr>
          <w:rFonts w:ascii="Times New Roman" w:hAnsi="Times New Roman"/>
          <w:szCs w:val="24"/>
        </w:rPr>
        <w:t xml:space="preserve"> за определяне на изпълните по реда на ЗУСЕСИФ  от 22.12.2015 и Постановление  № 160 на Министерски съвет от </w:t>
      </w:r>
      <w:r w:rsidR="004D727C">
        <w:rPr>
          <w:rFonts w:ascii="Times New Roman" w:hAnsi="Times New Roman"/>
          <w:szCs w:val="24"/>
        </w:rPr>
        <w:t>01.07.</w:t>
      </w:r>
      <w:r w:rsidRPr="009A3510">
        <w:rPr>
          <w:rFonts w:ascii="Times New Roman" w:hAnsi="Times New Roman"/>
          <w:szCs w:val="24"/>
        </w:rPr>
        <w:t>2016</w:t>
      </w:r>
      <w:r w:rsidR="004D727C">
        <w:rPr>
          <w:rFonts w:ascii="Times New Roman" w:hAnsi="Times New Roman"/>
          <w:szCs w:val="24"/>
        </w:rPr>
        <w:t xml:space="preserve"> г.</w:t>
      </w:r>
      <w:r w:rsidRPr="009A3510">
        <w:rPr>
          <w:rFonts w:ascii="Times New Roman" w:hAnsi="Times New Roman"/>
          <w:szCs w:val="24"/>
        </w:rPr>
        <w:t xml:space="preserve"> с Предмет: </w:t>
      </w:r>
      <w:r w:rsidR="007901AE" w:rsidRPr="007901AE">
        <w:rPr>
          <w:rFonts w:ascii="Times New Roman" w:hAnsi="Times New Roman"/>
          <w:szCs w:val="24"/>
        </w:rPr>
        <w:t>„Строително-монтажни работи по доизграждане на преработвателно предприятие за черна мида на „БЛЯК СИЙ ШЕЛС“ ООД”</w:t>
      </w:r>
      <w:r w:rsidRPr="009A3510">
        <w:rPr>
          <w:rFonts w:ascii="Times New Roman" w:hAnsi="Times New Roman"/>
          <w:szCs w:val="24"/>
          <w:lang w:eastAsia="bg-BG"/>
        </w:rPr>
        <w:t xml:space="preserve">по Договор № </w:t>
      </w:r>
      <w:r w:rsidR="00FD287D" w:rsidRPr="00132B3F">
        <w:rPr>
          <w:rStyle w:val="filled-value"/>
          <w:rFonts w:ascii="Times New Roman" w:hAnsi="Times New Roman"/>
          <w:szCs w:val="24"/>
        </w:rPr>
        <w:t>МДР—МП-01-41 / 14.08.2017 г.</w:t>
      </w:r>
      <w:r w:rsidR="00547282" w:rsidRPr="00132B3F">
        <w:rPr>
          <w:rFonts w:ascii="Times New Roman" w:hAnsi="Times New Roman"/>
          <w:bCs/>
          <w:szCs w:val="24"/>
          <w:shd w:val="clear" w:color="auto" w:fill="FFFFFF"/>
        </w:rPr>
        <w:t>,</w:t>
      </w:r>
      <w:r w:rsidR="00547282">
        <w:rPr>
          <w:rFonts w:ascii="Times New Roman" w:hAnsi="Times New Roman"/>
          <w:bCs/>
          <w:szCs w:val="24"/>
          <w:shd w:val="clear" w:color="auto" w:fill="FFFFFF"/>
        </w:rPr>
        <w:t xml:space="preserve"> </w:t>
      </w:r>
      <w:r w:rsidRPr="009A3510">
        <w:rPr>
          <w:rFonts w:ascii="Times New Roman" w:hAnsi="Times New Roman"/>
          <w:szCs w:val="24"/>
          <w:lang w:val="ru-RU"/>
        </w:rPr>
        <w:t>финансиран по Процедура</w:t>
      </w:r>
      <w:r w:rsidR="006A5722" w:rsidRPr="006A5722">
        <w:t xml:space="preserve"> </w:t>
      </w:r>
      <w:r w:rsidR="006A5722" w:rsidRPr="006A5722">
        <w:rPr>
          <w:rFonts w:ascii="Times New Roman" w:hAnsi="Times New Roman"/>
          <w:szCs w:val="24"/>
          <w:lang w:val="ru-RU"/>
        </w:rPr>
        <w:t>BG14MFOP001-5.004</w:t>
      </w:r>
      <w:r w:rsidR="006A5722">
        <w:rPr>
          <w:rFonts w:ascii="Times New Roman" w:hAnsi="Times New Roman"/>
          <w:szCs w:val="24"/>
          <w:lang w:val="en-US"/>
        </w:rPr>
        <w:t xml:space="preserve"> </w:t>
      </w:r>
      <w:r w:rsidR="00577069" w:rsidRPr="009A3510">
        <w:rPr>
          <w:rFonts w:ascii="Times New Roman" w:hAnsi="Times New Roman"/>
          <w:bCs/>
          <w:szCs w:val="24"/>
          <w:shd w:val="clear" w:color="auto" w:fill="FFFFFF"/>
        </w:rPr>
        <w:t xml:space="preserve">от </w:t>
      </w:r>
      <w:r w:rsidR="00E5577B">
        <w:rPr>
          <w:rFonts w:ascii="Times New Roman" w:hAnsi="Times New Roman"/>
          <w:bCs/>
          <w:szCs w:val="24"/>
          <w:shd w:val="clear" w:color="auto" w:fill="FFFFFF"/>
        </w:rPr>
        <w:t>ПМДР</w:t>
      </w:r>
      <w:r w:rsidR="00577069" w:rsidRPr="009A3510">
        <w:rPr>
          <w:rFonts w:ascii="Times New Roman" w:hAnsi="Times New Roman"/>
          <w:bCs/>
          <w:szCs w:val="24"/>
          <w:shd w:val="clear" w:color="auto" w:fill="FFFFFF"/>
        </w:rPr>
        <w:t xml:space="preserve"> 2014-2020</w:t>
      </w:r>
      <w:r w:rsidR="00000BAE">
        <w:rPr>
          <w:rFonts w:ascii="Times New Roman" w:hAnsi="Times New Roman"/>
          <w:bCs/>
          <w:szCs w:val="24"/>
          <w:shd w:val="clear" w:color="auto" w:fill="FFFFFF"/>
        </w:rPr>
        <w:t xml:space="preserve">, </w:t>
      </w:r>
      <w:r w:rsidR="00000BAE" w:rsidRPr="00000BAE">
        <w:rPr>
          <w:rFonts w:ascii="Times New Roman" w:hAnsi="Times New Roman"/>
          <w:bCs/>
          <w:szCs w:val="24"/>
          <w:shd w:val="clear" w:color="auto" w:fill="FFFFFF"/>
        </w:rPr>
        <w:t xml:space="preserve">съфинансирана от Европейския фонд за морско дело и </w:t>
      </w:r>
      <w:r w:rsidR="00FD287D" w:rsidRPr="00000BAE">
        <w:rPr>
          <w:rFonts w:ascii="Times New Roman" w:hAnsi="Times New Roman"/>
          <w:bCs/>
          <w:szCs w:val="24"/>
          <w:shd w:val="clear" w:color="auto" w:fill="FFFFFF"/>
        </w:rPr>
        <w:t>рибарство “</w:t>
      </w:r>
      <w:r w:rsidR="00000BAE">
        <w:rPr>
          <w:rFonts w:ascii="Times New Roman" w:hAnsi="Times New Roman"/>
          <w:bCs/>
          <w:szCs w:val="24"/>
          <w:shd w:val="clear" w:color="auto" w:fill="FFFFFF"/>
        </w:rPr>
        <w:t>.</w:t>
      </w:r>
    </w:p>
    <w:p w:rsidR="00711586" w:rsidRPr="009A3510" w:rsidRDefault="00711586" w:rsidP="00711586">
      <w:pPr>
        <w:tabs>
          <w:tab w:val="left" w:pos="3045"/>
          <w:tab w:val="left" w:pos="7845"/>
        </w:tabs>
        <w:rPr>
          <w:rFonts w:ascii="Times New Roman" w:hAnsi="Times New Roman"/>
          <w:b/>
          <w:szCs w:val="24"/>
          <w:lang w:eastAsia="bg-BG"/>
        </w:rPr>
      </w:pPr>
    </w:p>
    <w:p w:rsidR="00DA1A4F" w:rsidRDefault="00DA1A4F" w:rsidP="00E74AA8">
      <w:pPr>
        <w:autoSpaceDE w:val="0"/>
        <w:autoSpaceDN w:val="0"/>
        <w:adjustRightInd w:val="0"/>
        <w:spacing w:line="276" w:lineRule="auto"/>
        <w:jc w:val="both"/>
        <w:rPr>
          <w:rFonts w:ascii="Times New Roman" w:hAnsi="Times New Roman"/>
          <w:szCs w:val="24"/>
          <w:lang w:eastAsia="bg-BG"/>
        </w:rPr>
      </w:pPr>
      <w:r w:rsidRPr="009A3510">
        <w:rPr>
          <w:rFonts w:ascii="Times New Roman" w:hAnsi="Times New Roman"/>
          <w:szCs w:val="24"/>
          <w:lang w:eastAsia="bg-BG"/>
        </w:rPr>
        <w:t>Съгласно чл. 3, ал. 2, т. 3 от ПМС № 160/01.07.2016 г. и ЗУСЕСИФ, при оценка на офертите по настоящата процедура ще се прилага критерият „Оптимално съотношение качество/цена”, където класирането на допуснатите до участие оферти се извършва на база получената от всяка оферта „Комплексна оценка” – (КО), като сума от индивидуалните оценки по определените предварително показатели.</w:t>
      </w:r>
    </w:p>
    <w:p w:rsidR="00A7367D" w:rsidRPr="009A3510" w:rsidRDefault="00A7367D" w:rsidP="00E74AA8">
      <w:pPr>
        <w:autoSpaceDE w:val="0"/>
        <w:autoSpaceDN w:val="0"/>
        <w:adjustRightInd w:val="0"/>
        <w:jc w:val="both"/>
        <w:rPr>
          <w:rFonts w:ascii="Times New Roman" w:hAnsi="Times New Roman"/>
          <w:szCs w:val="24"/>
          <w:lang w:eastAsia="bg-BG"/>
        </w:rPr>
      </w:pPr>
    </w:p>
    <w:p w:rsidR="00DA1A4F" w:rsidRDefault="00DA1A4F" w:rsidP="00E74AA8">
      <w:pPr>
        <w:autoSpaceDE w:val="0"/>
        <w:autoSpaceDN w:val="0"/>
        <w:adjustRightInd w:val="0"/>
        <w:jc w:val="both"/>
        <w:rPr>
          <w:rFonts w:ascii="Times New Roman" w:hAnsi="Times New Roman"/>
          <w:szCs w:val="24"/>
          <w:lang w:eastAsia="bg-BG"/>
        </w:rPr>
      </w:pPr>
      <w:r w:rsidRPr="009A3510">
        <w:rPr>
          <w:rFonts w:ascii="Times New Roman" w:hAnsi="Times New Roman"/>
          <w:szCs w:val="24"/>
          <w:lang w:eastAsia="bg-BG"/>
        </w:rPr>
        <w:t>Критерият се прилага за оценка на офертите, които:</w:t>
      </w:r>
    </w:p>
    <w:p w:rsidR="0069631C" w:rsidRPr="009A3510" w:rsidRDefault="0069631C" w:rsidP="00E74AA8">
      <w:pPr>
        <w:autoSpaceDE w:val="0"/>
        <w:autoSpaceDN w:val="0"/>
        <w:adjustRightInd w:val="0"/>
        <w:jc w:val="both"/>
        <w:rPr>
          <w:rFonts w:ascii="Times New Roman" w:hAnsi="Times New Roman"/>
          <w:szCs w:val="24"/>
          <w:lang w:eastAsia="bg-BG"/>
        </w:rPr>
      </w:pPr>
    </w:p>
    <w:p w:rsidR="00DA1A4F" w:rsidRPr="009A3510" w:rsidRDefault="00DA1A4F" w:rsidP="00E74AA8">
      <w:pPr>
        <w:autoSpaceDE w:val="0"/>
        <w:autoSpaceDN w:val="0"/>
        <w:adjustRightInd w:val="0"/>
        <w:spacing w:line="276" w:lineRule="auto"/>
        <w:jc w:val="both"/>
        <w:rPr>
          <w:rFonts w:ascii="Times New Roman" w:hAnsi="Times New Roman"/>
          <w:szCs w:val="24"/>
          <w:lang w:eastAsia="bg-BG"/>
        </w:rPr>
      </w:pPr>
      <w:r w:rsidRPr="009A3510">
        <w:rPr>
          <w:rFonts w:ascii="Times New Roman" w:hAnsi="Times New Roman"/>
          <w:szCs w:val="24"/>
          <w:lang w:eastAsia="bg-BG"/>
        </w:rPr>
        <w:t>1. Отговарят на предварително обявените от бенефициента условия и задължително покриват</w:t>
      </w:r>
    </w:p>
    <w:p w:rsidR="00DA1A4F" w:rsidRDefault="00DA1A4F" w:rsidP="003140F9">
      <w:pPr>
        <w:autoSpaceDE w:val="0"/>
        <w:autoSpaceDN w:val="0"/>
        <w:adjustRightInd w:val="0"/>
        <w:spacing w:line="276" w:lineRule="auto"/>
        <w:jc w:val="both"/>
        <w:rPr>
          <w:rFonts w:ascii="Times New Roman" w:hAnsi="Times New Roman"/>
          <w:szCs w:val="24"/>
          <w:lang w:eastAsia="bg-BG"/>
        </w:rPr>
      </w:pPr>
      <w:r w:rsidRPr="009A3510">
        <w:rPr>
          <w:rFonts w:ascii="Times New Roman" w:hAnsi="Times New Roman"/>
          <w:szCs w:val="24"/>
          <w:lang w:eastAsia="bg-BG"/>
        </w:rPr>
        <w:t>минималните технически и функционални изисквани</w:t>
      </w:r>
      <w:r w:rsidR="003140F9">
        <w:rPr>
          <w:rFonts w:ascii="Times New Roman" w:hAnsi="Times New Roman"/>
          <w:szCs w:val="24"/>
          <w:lang w:eastAsia="bg-BG"/>
        </w:rPr>
        <w:t>я.</w:t>
      </w:r>
    </w:p>
    <w:p w:rsidR="0069631C" w:rsidRPr="009A3510" w:rsidRDefault="0069631C" w:rsidP="00E74AA8">
      <w:pPr>
        <w:autoSpaceDE w:val="0"/>
        <w:autoSpaceDN w:val="0"/>
        <w:adjustRightInd w:val="0"/>
        <w:spacing w:line="276" w:lineRule="auto"/>
        <w:jc w:val="both"/>
        <w:rPr>
          <w:rFonts w:ascii="Times New Roman" w:hAnsi="Times New Roman"/>
          <w:szCs w:val="24"/>
          <w:lang w:eastAsia="bg-BG"/>
        </w:rPr>
      </w:pPr>
    </w:p>
    <w:p w:rsidR="00DA1A4F" w:rsidRPr="009A3510" w:rsidRDefault="00DA1A4F" w:rsidP="00E74AA8">
      <w:pPr>
        <w:autoSpaceDE w:val="0"/>
        <w:autoSpaceDN w:val="0"/>
        <w:adjustRightInd w:val="0"/>
        <w:spacing w:line="276" w:lineRule="auto"/>
        <w:jc w:val="both"/>
        <w:rPr>
          <w:rFonts w:ascii="Times New Roman" w:hAnsi="Times New Roman"/>
          <w:szCs w:val="24"/>
          <w:lang w:eastAsia="bg-BG"/>
        </w:rPr>
      </w:pPr>
      <w:r w:rsidRPr="009A3510">
        <w:rPr>
          <w:rFonts w:ascii="Times New Roman" w:hAnsi="Times New Roman"/>
          <w:szCs w:val="24"/>
          <w:lang w:eastAsia="bg-BG"/>
        </w:rPr>
        <w:t>2. Подадени са от участници, за които не са декларирани налице обстоятелствата по чл. 8, ал. 3, т.2 от ПМС № 160/01.07.2016 г. и чл. 53 на ЗУСЕСИФ и които отговарят на поставените минимални изисквания за икономическо и финансово състояние и технически възможности и всички останали условия съобразно чл. 8 ал. 3 от ПМС № 160/01.07.2016 г и Публичната покана.</w:t>
      </w:r>
    </w:p>
    <w:p w:rsidR="0069631C" w:rsidRDefault="0069631C" w:rsidP="0069631C">
      <w:pPr>
        <w:autoSpaceDE w:val="0"/>
        <w:autoSpaceDN w:val="0"/>
        <w:adjustRightInd w:val="0"/>
        <w:spacing w:line="276" w:lineRule="auto"/>
        <w:rPr>
          <w:rFonts w:ascii="Times New Roman" w:hAnsi="Times New Roman"/>
          <w:szCs w:val="24"/>
          <w:lang w:eastAsia="bg-BG"/>
        </w:rPr>
      </w:pPr>
    </w:p>
    <w:p w:rsidR="00DA1A4F" w:rsidRPr="009A3510" w:rsidRDefault="00DA1A4F" w:rsidP="00E74AA8">
      <w:pPr>
        <w:autoSpaceDE w:val="0"/>
        <w:autoSpaceDN w:val="0"/>
        <w:adjustRightInd w:val="0"/>
        <w:spacing w:line="276" w:lineRule="auto"/>
        <w:jc w:val="both"/>
        <w:rPr>
          <w:rFonts w:ascii="Times New Roman" w:hAnsi="Times New Roman"/>
          <w:szCs w:val="24"/>
          <w:lang w:eastAsia="bg-BG"/>
        </w:rPr>
      </w:pPr>
      <w:r w:rsidRPr="009A3510">
        <w:rPr>
          <w:rFonts w:ascii="Times New Roman" w:hAnsi="Times New Roman"/>
          <w:szCs w:val="24"/>
          <w:lang w:eastAsia="bg-BG"/>
        </w:rPr>
        <w:t xml:space="preserve">Оценката се извършва по приложената методика с данни по офертите. </w:t>
      </w:r>
    </w:p>
    <w:p w:rsidR="00DA1A4F" w:rsidRDefault="00DA1A4F" w:rsidP="00E74AA8">
      <w:pPr>
        <w:autoSpaceDE w:val="0"/>
        <w:autoSpaceDN w:val="0"/>
        <w:adjustRightInd w:val="0"/>
        <w:jc w:val="both"/>
        <w:rPr>
          <w:rFonts w:ascii="Times New Roman" w:hAnsi="Times New Roman"/>
          <w:szCs w:val="24"/>
          <w:lang w:eastAsia="bg-BG"/>
        </w:rPr>
      </w:pPr>
    </w:p>
    <w:p w:rsidR="0069631C" w:rsidRDefault="0069631C" w:rsidP="00E74AA8">
      <w:pPr>
        <w:autoSpaceDE w:val="0"/>
        <w:autoSpaceDN w:val="0"/>
        <w:adjustRightInd w:val="0"/>
        <w:jc w:val="both"/>
        <w:rPr>
          <w:rFonts w:ascii="Times New Roman" w:hAnsi="Times New Roman"/>
          <w:szCs w:val="24"/>
          <w:lang w:eastAsia="bg-BG"/>
        </w:rPr>
      </w:pPr>
    </w:p>
    <w:p w:rsidR="00092F0F" w:rsidRDefault="00092F0F" w:rsidP="00E74AA8">
      <w:pPr>
        <w:autoSpaceDE w:val="0"/>
        <w:autoSpaceDN w:val="0"/>
        <w:adjustRightInd w:val="0"/>
        <w:jc w:val="both"/>
        <w:rPr>
          <w:rFonts w:ascii="Times New Roman" w:hAnsi="Times New Roman"/>
          <w:szCs w:val="24"/>
          <w:lang w:eastAsia="bg-BG"/>
        </w:rPr>
      </w:pPr>
    </w:p>
    <w:p w:rsidR="00092F0F" w:rsidRDefault="00092F0F" w:rsidP="00E74AA8">
      <w:pPr>
        <w:autoSpaceDE w:val="0"/>
        <w:autoSpaceDN w:val="0"/>
        <w:adjustRightInd w:val="0"/>
        <w:jc w:val="both"/>
        <w:rPr>
          <w:rFonts w:ascii="Times New Roman" w:hAnsi="Times New Roman"/>
          <w:szCs w:val="24"/>
          <w:lang w:eastAsia="bg-BG"/>
        </w:rPr>
      </w:pPr>
    </w:p>
    <w:p w:rsidR="00092F0F" w:rsidRDefault="00092F0F" w:rsidP="00E74AA8">
      <w:pPr>
        <w:autoSpaceDE w:val="0"/>
        <w:autoSpaceDN w:val="0"/>
        <w:adjustRightInd w:val="0"/>
        <w:jc w:val="both"/>
        <w:rPr>
          <w:rFonts w:ascii="Times New Roman" w:hAnsi="Times New Roman"/>
          <w:szCs w:val="24"/>
          <w:lang w:eastAsia="bg-BG"/>
        </w:rPr>
      </w:pPr>
    </w:p>
    <w:p w:rsidR="00092F0F" w:rsidRDefault="00092F0F" w:rsidP="00E74AA8">
      <w:pPr>
        <w:autoSpaceDE w:val="0"/>
        <w:autoSpaceDN w:val="0"/>
        <w:adjustRightInd w:val="0"/>
        <w:jc w:val="both"/>
        <w:rPr>
          <w:rFonts w:ascii="Times New Roman" w:hAnsi="Times New Roman"/>
          <w:szCs w:val="24"/>
          <w:lang w:eastAsia="bg-BG"/>
        </w:rPr>
      </w:pPr>
    </w:p>
    <w:p w:rsidR="00092F0F" w:rsidRDefault="00092F0F" w:rsidP="00E74AA8">
      <w:pPr>
        <w:autoSpaceDE w:val="0"/>
        <w:autoSpaceDN w:val="0"/>
        <w:adjustRightInd w:val="0"/>
        <w:jc w:val="both"/>
        <w:rPr>
          <w:rFonts w:ascii="Times New Roman" w:hAnsi="Times New Roman"/>
          <w:szCs w:val="24"/>
          <w:lang w:eastAsia="bg-BG"/>
        </w:rPr>
      </w:pPr>
    </w:p>
    <w:p w:rsidR="00216389" w:rsidRDefault="00216389" w:rsidP="00E74AA8">
      <w:pPr>
        <w:autoSpaceDE w:val="0"/>
        <w:autoSpaceDN w:val="0"/>
        <w:adjustRightInd w:val="0"/>
        <w:jc w:val="both"/>
        <w:rPr>
          <w:rFonts w:ascii="Times New Roman" w:hAnsi="Times New Roman"/>
          <w:szCs w:val="24"/>
          <w:lang w:eastAsia="bg-BG"/>
        </w:rPr>
      </w:pPr>
    </w:p>
    <w:p w:rsidR="00216389" w:rsidRDefault="00216389" w:rsidP="00E74AA8">
      <w:pPr>
        <w:autoSpaceDE w:val="0"/>
        <w:autoSpaceDN w:val="0"/>
        <w:adjustRightInd w:val="0"/>
        <w:jc w:val="both"/>
        <w:rPr>
          <w:rFonts w:ascii="Times New Roman" w:hAnsi="Times New Roman"/>
          <w:szCs w:val="24"/>
          <w:lang w:eastAsia="bg-BG"/>
        </w:rPr>
      </w:pPr>
    </w:p>
    <w:p w:rsidR="00216389" w:rsidRDefault="00216389" w:rsidP="00E74AA8">
      <w:pPr>
        <w:autoSpaceDE w:val="0"/>
        <w:autoSpaceDN w:val="0"/>
        <w:adjustRightInd w:val="0"/>
        <w:jc w:val="both"/>
        <w:rPr>
          <w:rFonts w:ascii="Times New Roman" w:hAnsi="Times New Roman"/>
          <w:szCs w:val="24"/>
          <w:lang w:eastAsia="bg-BG"/>
        </w:rPr>
      </w:pPr>
    </w:p>
    <w:p w:rsidR="0069631C" w:rsidRPr="009A3510" w:rsidRDefault="0069631C" w:rsidP="00E74AA8">
      <w:pPr>
        <w:autoSpaceDE w:val="0"/>
        <w:autoSpaceDN w:val="0"/>
        <w:adjustRightInd w:val="0"/>
        <w:jc w:val="both"/>
        <w:rPr>
          <w:rFonts w:ascii="Times New Roman" w:hAnsi="Times New Roman"/>
          <w:szCs w:val="24"/>
          <w:lang w:eastAsia="bg-BG"/>
        </w:rPr>
      </w:pPr>
    </w:p>
    <w:p w:rsidR="00DA1A4F" w:rsidRPr="009A3510" w:rsidRDefault="00DA1A4F" w:rsidP="00E74AA8">
      <w:pPr>
        <w:autoSpaceDE w:val="0"/>
        <w:autoSpaceDN w:val="0"/>
        <w:adjustRightInd w:val="0"/>
        <w:jc w:val="both"/>
        <w:rPr>
          <w:rFonts w:ascii="Times New Roman" w:hAnsi="Times New Roman"/>
          <w:b/>
          <w:bCs/>
          <w:sz w:val="22"/>
          <w:szCs w:val="22"/>
          <w:lang w:eastAsia="bg-BG"/>
        </w:rPr>
      </w:pPr>
      <w:r w:rsidRPr="009A3510">
        <w:rPr>
          <w:rFonts w:ascii="Times New Roman" w:hAnsi="Times New Roman"/>
          <w:b/>
          <w:bCs/>
          <w:sz w:val="22"/>
          <w:szCs w:val="22"/>
          <w:lang w:eastAsia="bg-BG"/>
        </w:rPr>
        <w:lastRenderedPageBreak/>
        <w:t>I. ПОКАЗАТЕЛИ ЗА ОЦЕНКА НА ОФЕРТИ. ОТНОСИТЕЛНА ТЕЖЕСТ</w:t>
      </w:r>
    </w:p>
    <w:p w:rsidR="0069631C" w:rsidRDefault="0069631C" w:rsidP="00E74AA8">
      <w:pPr>
        <w:autoSpaceDE w:val="0"/>
        <w:autoSpaceDN w:val="0"/>
        <w:adjustRightInd w:val="0"/>
        <w:jc w:val="both"/>
        <w:rPr>
          <w:rFonts w:ascii="Times New Roman" w:hAnsi="Times New Roman"/>
          <w:sz w:val="22"/>
          <w:szCs w:val="22"/>
          <w:lang w:eastAsia="bg-BG"/>
        </w:rPr>
      </w:pPr>
    </w:p>
    <w:p w:rsidR="00DA1A4F" w:rsidRPr="00736BDD" w:rsidRDefault="00DA1A4F" w:rsidP="00E74AA8">
      <w:pPr>
        <w:autoSpaceDE w:val="0"/>
        <w:autoSpaceDN w:val="0"/>
        <w:adjustRightInd w:val="0"/>
        <w:spacing w:line="276" w:lineRule="auto"/>
        <w:jc w:val="both"/>
        <w:rPr>
          <w:rFonts w:ascii="Times New Roman" w:hAnsi="Times New Roman"/>
          <w:szCs w:val="24"/>
          <w:lang w:eastAsia="bg-BG"/>
        </w:rPr>
      </w:pPr>
      <w:r w:rsidRPr="00736BDD">
        <w:rPr>
          <w:rFonts w:ascii="Times New Roman" w:hAnsi="Times New Roman"/>
          <w:szCs w:val="24"/>
          <w:lang w:eastAsia="bg-BG"/>
        </w:rPr>
        <w:t>В настоящата методиката за оценка на офертите от документацията за участие са конкретизирани и точно определени отделните показатели и съответните им относителни тегла в комплексната оценка, както следва:</w:t>
      </w:r>
    </w:p>
    <w:p w:rsidR="00DA1A4F" w:rsidRPr="009A3510" w:rsidRDefault="00DA1A4F" w:rsidP="00DA1A4F">
      <w:pPr>
        <w:autoSpaceDE w:val="0"/>
        <w:autoSpaceDN w:val="0"/>
        <w:adjustRightInd w:val="0"/>
        <w:rPr>
          <w:rFonts w:ascii="Times New Roman" w:hAnsi="Times New Roman"/>
          <w:sz w:val="22"/>
          <w:szCs w:val="22"/>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2062"/>
        <w:gridCol w:w="2406"/>
        <w:gridCol w:w="2405"/>
      </w:tblGrid>
      <w:tr w:rsidR="00DA1A4F" w:rsidRPr="009A3510" w:rsidTr="006E4984">
        <w:tc>
          <w:tcPr>
            <w:tcW w:w="2802" w:type="dxa"/>
            <w:shd w:val="clear" w:color="auto" w:fill="F2F2F2" w:themeFill="background1" w:themeFillShade="F2"/>
            <w:vAlign w:val="center"/>
          </w:tcPr>
          <w:p w:rsidR="00DA1A4F" w:rsidRPr="009A3510" w:rsidRDefault="00DA1A4F" w:rsidP="006E4984">
            <w:pPr>
              <w:autoSpaceDE w:val="0"/>
              <w:autoSpaceDN w:val="0"/>
              <w:adjustRightInd w:val="0"/>
              <w:spacing w:line="276" w:lineRule="auto"/>
              <w:jc w:val="center"/>
              <w:rPr>
                <w:rFonts w:ascii="Times New Roman" w:hAnsi="Times New Roman"/>
                <w:b/>
                <w:bCs/>
                <w:sz w:val="20"/>
                <w:lang w:eastAsia="bg-BG"/>
              </w:rPr>
            </w:pPr>
            <w:r w:rsidRPr="009A3510">
              <w:rPr>
                <w:rFonts w:ascii="Times New Roman" w:hAnsi="Times New Roman"/>
                <w:b/>
                <w:bCs/>
                <w:sz w:val="20"/>
                <w:lang w:eastAsia="bg-BG"/>
              </w:rPr>
              <w:t>Показател – П</w:t>
            </w:r>
          </w:p>
          <w:p w:rsidR="00DA1A4F" w:rsidRPr="009A3510" w:rsidRDefault="00DA1A4F" w:rsidP="006E4984">
            <w:pPr>
              <w:autoSpaceDE w:val="0"/>
              <w:autoSpaceDN w:val="0"/>
              <w:adjustRightInd w:val="0"/>
              <w:spacing w:line="276" w:lineRule="auto"/>
              <w:jc w:val="center"/>
              <w:rPr>
                <w:rFonts w:ascii="Times New Roman" w:hAnsi="Times New Roman"/>
                <w:sz w:val="22"/>
                <w:szCs w:val="22"/>
                <w:lang w:eastAsia="bg-BG"/>
              </w:rPr>
            </w:pPr>
            <w:r w:rsidRPr="009A3510">
              <w:rPr>
                <w:rFonts w:ascii="Times New Roman" w:hAnsi="Times New Roman"/>
                <w:sz w:val="20"/>
                <w:lang w:eastAsia="bg-BG"/>
              </w:rPr>
              <w:t>(наименование)</w:t>
            </w:r>
          </w:p>
        </w:tc>
        <w:tc>
          <w:tcPr>
            <w:tcW w:w="2087" w:type="dxa"/>
            <w:shd w:val="clear" w:color="auto" w:fill="F2F2F2" w:themeFill="background1" w:themeFillShade="F2"/>
            <w:vAlign w:val="center"/>
          </w:tcPr>
          <w:p w:rsidR="00DA1A4F" w:rsidRPr="009A3510" w:rsidRDefault="00DA1A4F" w:rsidP="006E4984">
            <w:pPr>
              <w:autoSpaceDE w:val="0"/>
              <w:autoSpaceDN w:val="0"/>
              <w:adjustRightInd w:val="0"/>
              <w:spacing w:line="276" w:lineRule="auto"/>
              <w:jc w:val="center"/>
              <w:rPr>
                <w:rFonts w:ascii="Times New Roman" w:hAnsi="Times New Roman"/>
                <w:sz w:val="22"/>
                <w:szCs w:val="22"/>
                <w:lang w:eastAsia="bg-BG"/>
              </w:rPr>
            </w:pPr>
            <w:r w:rsidRPr="009A3510">
              <w:rPr>
                <w:rFonts w:ascii="Times New Roman" w:hAnsi="Times New Roman"/>
                <w:b/>
                <w:bCs/>
                <w:sz w:val="20"/>
                <w:lang w:eastAsia="bg-BG"/>
              </w:rPr>
              <w:t>Относително тегло</w:t>
            </w:r>
          </w:p>
        </w:tc>
        <w:tc>
          <w:tcPr>
            <w:tcW w:w="2445" w:type="dxa"/>
            <w:shd w:val="clear" w:color="auto" w:fill="F2F2F2" w:themeFill="background1" w:themeFillShade="F2"/>
            <w:vAlign w:val="center"/>
          </w:tcPr>
          <w:p w:rsidR="00DA1A4F" w:rsidRPr="00730366" w:rsidRDefault="00DA1A4F" w:rsidP="006E4984">
            <w:pPr>
              <w:autoSpaceDE w:val="0"/>
              <w:autoSpaceDN w:val="0"/>
              <w:adjustRightInd w:val="0"/>
              <w:spacing w:line="276" w:lineRule="auto"/>
              <w:jc w:val="center"/>
              <w:rPr>
                <w:rFonts w:ascii="Times New Roman" w:hAnsi="Times New Roman"/>
                <w:b/>
                <w:bCs/>
                <w:sz w:val="20"/>
                <w:lang w:eastAsia="bg-BG"/>
              </w:rPr>
            </w:pPr>
            <w:r w:rsidRPr="00730366">
              <w:rPr>
                <w:rFonts w:ascii="Times New Roman" w:hAnsi="Times New Roman"/>
                <w:b/>
                <w:bCs/>
                <w:sz w:val="20"/>
                <w:lang w:eastAsia="bg-BG"/>
              </w:rPr>
              <w:t>Максимално възможен</w:t>
            </w:r>
          </w:p>
          <w:p w:rsidR="00DA1A4F" w:rsidRPr="00730366" w:rsidRDefault="00DA1A4F" w:rsidP="006E4984">
            <w:pPr>
              <w:autoSpaceDE w:val="0"/>
              <w:autoSpaceDN w:val="0"/>
              <w:adjustRightInd w:val="0"/>
              <w:spacing w:line="276" w:lineRule="auto"/>
              <w:jc w:val="center"/>
              <w:rPr>
                <w:rFonts w:ascii="Times New Roman" w:hAnsi="Times New Roman"/>
                <w:sz w:val="22"/>
                <w:szCs w:val="22"/>
                <w:lang w:eastAsia="bg-BG"/>
              </w:rPr>
            </w:pPr>
            <w:r w:rsidRPr="00730366">
              <w:rPr>
                <w:rFonts w:ascii="Times New Roman" w:hAnsi="Times New Roman"/>
                <w:b/>
                <w:bCs/>
                <w:sz w:val="20"/>
                <w:lang w:eastAsia="bg-BG"/>
              </w:rPr>
              <w:t>брой точки</w:t>
            </w:r>
          </w:p>
        </w:tc>
        <w:tc>
          <w:tcPr>
            <w:tcW w:w="2445" w:type="dxa"/>
            <w:shd w:val="clear" w:color="auto" w:fill="F2F2F2" w:themeFill="background1" w:themeFillShade="F2"/>
            <w:vAlign w:val="center"/>
          </w:tcPr>
          <w:p w:rsidR="00DA1A4F" w:rsidRPr="009A3510" w:rsidRDefault="00DA1A4F" w:rsidP="006E4984">
            <w:pPr>
              <w:autoSpaceDE w:val="0"/>
              <w:autoSpaceDN w:val="0"/>
              <w:adjustRightInd w:val="0"/>
              <w:spacing w:line="276" w:lineRule="auto"/>
              <w:jc w:val="center"/>
              <w:rPr>
                <w:rFonts w:ascii="Times New Roman" w:hAnsi="Times New Roman"/>
                <w:b/>
                <w:bCs/>
                <w:sz w:val="20"/>
                <w:lang w:eastAsia="bg-BG"/>
              </w:rPr>
            </w:pPr>
            <w:r w:rsidRPr="009A3510">
              <w:rPr>
                <w:rFonts w:ascii="Times New Roman" w:hAnsi="Times New Roman"/>
                <w:b/>
                <w:bCs/>
                <w:sz w:val="20"/>
                <w:lang w:eastAsia="bg-BG"/>
              </w:rPr>
              <w:t>Символично</w:t>
            </w:r>
          </w:p>
          <w:p w:rsidR="00DA1A4F" w:rsidRPr="009A3510" w:rsidRDefault="00DA1A4F" w:rsidP="006E4984">
            <w:pPr>
              <w:autoSpaceDE w:val="0"/>
              <w:autoSpaceDN w:val="0"/>
              <w:adjustRightInd w:val="0"/>
              <w:spacing w:line="276" w:lineRule="auto"/>
              <w:jc w:val="center"/>
              <w:rPr>
                <w:rFonts w:ascii="Times New Roman" w:hAnsi="Times New Roman"/>
                <w:b/>
                <w:bCs/>
                <w:sz w:val="20"/>
                <w:lang w:eastAsia="bg-BG"/>
              </w:rPr>
            </w:pPr>
            <w:r w:rsidRPr="009A3510">
              <w:rPr>
                <w:rFonts w:ascii="Times New Roman" w:hAnsi="Times New Roman"/>
                <w:b/>
                <w:bCs/>
                <w:sz w:val="20"/>
                <w:lang w:eastAsia="bg-BG"/>
              </w:rPr>
              <w:t>обозначение на точките</w:t>
            </w:r>
          </w:p>
          <w:p w:rsidR="00DA1A4F" w:rsidRPr="009A3510" w:rsidRDefault="00DA1A4F" w:rsidP="006E4984">
            <w:pPr>
              <w:autoSpaceDE w:val="0"/>
              <w:autoSpaceDN w:val="0"/>
              <w:adjustRightInd w:val="0"/>
              <w:spacing w:line="276" w:lineRule="auto"/>
              <w:jc w:val="center"/>
              <w:rPr>
                <w:rFonts w:ascii="Times New Roman" w:hAnsi="Times New Roman"/>
                <w:sz w:val="22"/>
                <w:szCs w:val="22"/>
                <w:lang w:eastAsia="bg-BG"/>
              </w:rPr>
            </w:pPr>
            <w:r w:rsidRPr="009A3510">
              <w:rPr>
                <w:rFonts w:ascii="Times New Roman" w:hAnsi="Times New Roman"/>
                <w:b/>
                <w:bCs/>
                <w:sz w:val="20"/>
                <w:lang w:eastAsia="bg-BG"/>
              </w:rPr>
              <w:t>по показателя</w:t>
            </w:r>
          </w:p>
        </w:tc>
      </w:tr>
      <w:tr w:rsidR="00DA1A4F" w:rsidRPr="009A3510" w:rsidTr="00C10B7F">
        <w:tc>
          <w:tcPr>
            <w:tcW w:w="2802" w:type="dxa"/>
            <w:vAlign w:val="center"/>
          </w:tcPr>
          <w:p w:rsidR="00DA1A4F" w:rsidRPr="000B1549" w:rsidRDefault="00DA1A4F" w:rsidP="00C10B7F">
            <w:pPr>
              <w:autoSpaceDE w:val="0"/>
              <w:autoSpaceDN w:val="0"/>
              <w:adjustRightInd w:val="0"/>
              <w:spacing w:line="276" w:lineRule="auto"/>
              <w:jc w:val="center"/>
              <w:rPr>
                <w:rFonts w:ascii="Times New Roman" w:hAnsi="Times New Roman"/>
                <w:sz w:val="10"/>
                <w:szCs w:val="10"/>
                <w:lang w:eastAsia="bg-BG"/>
              </w:rPr>
            </w:pPr>
            <w:r w:rsidRPr="000B1549">
              <w:rPr>
                <w:rFonts w:ascii="Times New Roman" w:hAnsi="Times New Roman"/>
                <w:sz w:val="10"/>
                <w:szCs w:val="10"/>
                <w:lang w:eastAsia="bg-BG"/>
              </w:rPr>
              <w:t>1</w:t>
            </w:r>
          </w:p>
        </w:tc>
        <w:tc>
          <w:tcPr>
            <w:tcW w:w="2087" w:type="dxa"/>
            <w:vAlign w:val="center"/>
          </w:tcPr>
          <w:p w:rsidR="00DA1A4F" w:rsidRPr="000B1549" w:rsidRDefault="00DA1A4F" w:rsidP="00C10B7F">
            <w:pPr>
              <w:autoSpaceDE w:val="0"/>
              <w:autoSpaceDN w:val="0"/>
              <w:adjustRightInd w:val="0"/>
              <w:spacing w:line="276" w:lineRule="auto"/>
              <w:jc w:val="center"/>
              <w:rPr>
                <w:rFonts w:ascii="Times New Roman" w:hAnsi="Times New Roman"/>
                <w:sz w:val="10"/>
                <w:szCs w:val="10"/>
                <w:lang w:eastAsia="bg-BG"/>
              </w:rPr>
            </w:pPr>
            <w:r w:rsidRPr="000B1549">
              <w:rPr>
                <w:rFonts w:ascii="Times New Roman" w:hAnsi="Times New Roman"/>
                <w:sz w:val="10"/>
                <w:szCs w:val="10"/>
                <w:lang w:eastAsia="bg-BG"/>
              </w:rPr>
              <w:t>2</w:t>
            </w:r>
          </w:p>
        </w:tc>
        <w:tc>
          <w:tcPr>
            <w:tcW w:w="2445" w:type="dxa"/>
            <w:vAlign w:val="center"/>
          </w:tcPr>
          <w:p w:rsidR="00DA1A4F" w:rsidRPr="000B1549" w:rsidRDefault="00DA1A4F" w:rsidP="00C10B7F">
            <w:pPr>
              <w:autoSpaceDE w:val="0"/>
              <w:autoSpaceDN w:val="0"/>
              <w:adjustRightInd w:val="0"/>
              <w:spacing w:line="276" w:lineRule="auto"/>
              <w:jc w:val="center"/>
              <w:rPr>
                <w:rFonts w:ascii="Times New Roman" w:hAnsi="Times New Roman"/>
                <w:sz w:val="10"/>
                <w:szCs w:val="10"/>
                <w:lang w:eastAsia="bg-BG"/>
              </w:rPr>
            </w:pPr>
            <w:r w:rsidRPr="000B1549">
              <w:rPr>
                <w:rFonts w:ascii="Times New Roman" w:hAnsi="Times New Roman"/>
                <w:sz w:val="10"/>
                <w:szCs w:val="10"/>
                <w:lang w:eastAsia="bg-BG"/>
              </w:rPr>
              <w:t>3</w:t>
            </w:r>
          </w:p>
        </w:tc>
        <w:tc>
          <w:tcPr>
            <w:tcW w:w="2445" w:type="dxa"/>
            <w:vAlign w:val="center"/>
          </w:tcPr>
          <w:p w:rsidR="00DA1A4F" w:rsidRPr="000B1549" w:rsidRDefault="00DA1A4F" w:rsidP="00C10B7F">
            <w:pPr>
              <w:autoSpaceDE w:val="0"/>
              <w:autoSpaceDN w:val="0"/>
              <w:adjustRightInd w:val="0"/>
              <w:spacing w:line="276" w:lineRule="auto"/>
              <w:jc w:val="center"/>
              <w:rPr>
                <w:rFonts w:ascii="Times New Roman" w:hAnsi="Times New Roman"/>
                <w:sz w:val="10"/>
                <w:szCs w:val="10"/>
                <w:lang w:eastAsia="bg-BG"/>
              </w:rPr>
            </w:pPr>
            <w:r w:rsidRPr="000B1549">
              <w:rPr>
                <w:rFonts w:ascii="Times New Roman" w:hAnsi="Times New Roman"/>
                <w:sz w:val="10"/>
                <w:szCs w:val="10"/>
                <w:lang w:eastAsia="bg-BG"/>
              </w:rPr>
              <w:t>4</w:t>
            </w:r>
          </w:p>
        </w:tc>
      </w:tr>
      <w:tr w:rsidR="00DA1A4F" w:rsidRPr="009A3510" w:rsidTr="009A3510">
        <w:tc>
          <w:tcPr>
            <w:tcW w:w="2802" w:type="dxa"/>
          </w:tcPr>
          <w:p w:rsidR="00DA1A4F" w:rsidRPr="009A3510" w:rsidRDefault="00DA1A4F" w:rsidP="006E4984">
            <w:pPr>
              <w:autoSpaceDE w:val="0"/>
              <w:autoSpaceDN w:val="0"/>
              <w:adjustRightInd w:val="0"/>
              <w:spacing w:line="276" w:lineRule="auto"/>
              <w:rPr>
                <w:rFonts w:ascii="Times New Roman" w:hAnsi="Times New Roman"/>
                <w:sz w:val="22"/>
                <w:szCs w:val="22"/>
                <w:lang w:eastAsia="bg-BG"/>
              </w:rPr>
            </w:pPr>
            <w:r w:rsidRPr="009A3510">
              <w:rPr>
                <w:rFonts w:ascii="Times New Roman" w:hAnsi="Times New Roman"/>
                <w:sz w:val="22"/>
                <w:szCs w:val="22"/>
                <w:lang w:eastAsia="bg-BG"/>
              </w:rPr>
              <w:t>Предложена цена – П1</w:t>
            </w:r>
          </w:p>
        </w:tc>
        <w:tc>
          <w:tcPr>
            <w:tcW w:w="2087" w:type="dxa"/>
          </w:tcPr>
          <w:p w:rsidR="00DA1A4F" w:rsidRPr="009A3510" w:rsidRDefault="00DA1A4F" w:rsidP="00216389">
            <w:pPr>
              <w:autoSpaceDE w:val="0"/>
              <w:autoSpaceDN w:val="0"/>
              <w:adjustRightInd w:val="0"/>
              <w:spacing w:line="276" w:lineRule="auto"/>
              <w:jc w:val="center"/>
              <w:rPr>
                <w:rFonts w:ascii="Times New Roman" w:hAnsi="Times New Roman"/>
                <w:sz w:val="22"/>
                <w:szCs w:val="22"/>
                <w:lang w:eastAsia="bg-BG"/>
              </w:rPr>
            </w:pPr>
            <w:r w:rsidRPr="009A3510">
              <w:rPr>
                <w:rFonts w:ascii="Times New Roman" w:hAnsi="Times New Roman"/>
                <w:b/>
                <w:bCs/>
                <w:sz w:val="22"/>
                <w:szCs w:val="22"/>
                <w:lang w:eastAsia="bg-BG"/>
              </w:rPr>
              <w:t xml:space="preserve">30% </w:t>
            </w:r>
            <w:r w:rsidRPr="009A3510">
              <w:rPr>
                <w:rFonts w:ascii="Times New Roman" w:hAnsi="Times New Roman"/>
                <w:sz w:val="22"/>
                <w:szCs w:val="22"/>
                <w:lang w:eastAsia="bg-BG"/>
              </w:rPr>
              <w:t>(0,30)</w:t>
            </w:r>
          </w:p>
        </w:tc>
        <w:tc>
          <w:tcPr>
            <w:tcW w:w="2445" w:type="dxa"/>
          </w:tcPr>
          <w:p w:rsidR="00DA1A4F" w:rsidRPr="00730366" w:rsidRDefault="00DA1A4F" w:rsidP="00216389">
            <w:pPr>
              <w:autoSpaceDE w:val="0"/>
              <w:autoSpaceDN w:val="0"/>
              <w:adjustRightInd w:val="0"/>
              <w:spacing w:line="276" w:lineRule="auto"/>
              <w:jc w:val="center"/>
              <w:rPr>
                <w:rFonts w:ascii="Times New Roman" w:hAnsi="Times New Roman"/>
                <w:sz w:val="22"/>
                <w:szCs w:val="22"/>
                <w:lang w:eastAsia="bg-BG"/>
              </w:rPr>
            </w:pPr>
            <w:r w:rsidRPr="00730366">
              <w:rPr>
                <w:rFonts w:ascii="Times New Roman" w:hAnsi="Times New Roman"/>
                <w:sz w:val="22"/>
                <w:szCs w:val="22"/>
                <w:lang w:eastAsia="bg-BG"/>
              </w:rPr>
              <w:t>100</w:t>
            </w:r>
          </w:p>
        </w:tc>
        <w:tc>
          <w:tcPr>
            <w:tcW w:w="2445" w:type="dxa"/>
          </w:tcPr>
          <w:p w:rsidR="00DA1A4F" w:rsidRPr="009A3510" w:rsidRDefault="00183AEF" w:rsidP="00216389">
            <w:pPr>
              <w:autoSpaceDE w:val="0"/>
              <w:autoSpaceDN w:val="0"/>
              <w:adjustRightInd w:val="0"/>
              <w:spacing w:line="276" w:lineRule="auto"/>
              <w:jc w:val="center"/>
              <w:rPr>
                <w:rFonts w:ascii="Times New Roman" w:hAnsi="Times New Roman"/>
                <w:sz w:val="22"/>
                <w:szCs w:val="22"/>
                <w:lang w:eastAsia="bg-BG"/>
              </w:rPr>
            </w:pPr>
            <w:r>
              <w:rPr>
                <w:rFonts w:ascii="Times New Roman" w:hAnsi="Times New Roman"/>
                <w:b/>
                <w:bCs/>
                <w:sz w:val="22"/>
                <w:szCs w:val="22"/>
                <w:lang w:eastAsia="bg-BG"/>
              </w:rPr>
              <w:t>Т</w:t>
            </w:r>
            <w:r w:rsidR="00DA1A4F" w:rsidRPr="009A3510">
              <w:rPr>
                <w:rFonts w:ascii="Times New Roman" w:hAnsi="Times New Roman"/>
                <w:b/>
                <w:bCs/>
                <w:sz w:val="22"/>
                <w:szCs w:val="22"/>
                <w:lang w:eastAsia="bg-BG"/>
              </w:rPr>
              <w:t>ц</w:t>
            </w:r>
          </w:p>
        </w:tc>
      </w:tr>
      <w:tr w:rsidR="00DA1A4F" w:rsidRPr="009A3510" w:rsidTr="009A3510">
        <w:tc>
          <w:tcPr>
            <w:tcW w:w="2802" w:type="dxa"/>
          </w:tcPr>
          <w:p w:rsidR="00DA1A4F" w:rsidRPr="009A3510" w:rsidRDefault="00DA1A4F" w:rsidP="006E4984">
            <w:pPr>
              <w:autoSpaceDE w:val="0"/>
              <w:autoSpaceDN w:val="0"/>
              <w:adjustRightInd w:val="0"/>
              <w:spacing w:line="276" w:lineRule="auto"/>
              <w:rPr>
                <w:rFonts w:ascii="Times New Roman" w:hAnsi="Times New Roman"/>
                <w:sz w:val="22"/>
                <w:szCs w:val="22"/>
                <w:lang w:eastAsia="bg-BG"/>
              </w:rPr>
            </w:pPr>
            <w:r w:rsidRPr="009A3510">
              <w:rPr>
                <w:rFonts w:ascii="Times New Roman" w:hAnsi="Times New Roman"/>
                <w:sz w:val="22"/>
                <w:szCs w:val="22"/>
                <w:lang w:eastAsia="bg-BG"/>
              </w:rPr>
              <w:t>Техническа оценка – П2</w:t>
            </w:r>
          </w:p>
        </w:tc>
        <w:tc>
          <w:tcPr>
            <w:tcW w:w="2087" w:type="dxa"/>
          </w:tcPr>
          <w:p w:rsidR="00DA1A4F" w:rsidRPr="009A3510" w:rsidRDefault="00DA1A4F" w:rsidP="00216389">
            <w:pPr>
              <w:autoSpaceDE w:val="0"/>
              <w:autoSpaceDN w:val="0"/>
              <w:adjustRightInd w:val="0"/>
              <w:spacing w:line="276" w:lineRule="auto"/>
              <w:jc w:val="center"/>
              <w:rPr>
                <w:rFonts w:ascii="Times New Roman" w:hAnsi="Times New Roman"/>
                <w:sz w:val="22"/>
                <w:szCs w:val="22"/>
                <w:lang w:eastAsia="bg-BG"/>
              </w:rPr>
            </w:pPr>
            <w:r w:rsidRPr="009A3510">
              <w:rPr>
                <w:rFonts w:ascii="Times New Roman" w:hAnsi="Times New Roman"/>
                <w:b/>
                <w:bCs/>
                <w:sz w:val="22"/>
                <w:szCs w:val="22"/>
                <w:lang w:eastAsia="bg-BG"/>
              </w:rPr>
              <w:t xml:space="preserve">70% </w:t>
            </w:r>
            <w:r w:rsidRPr="009A3510">
              <w:rPr>
                <w:rFonts w:ascii="Times New Roman" w:hAnsi="Times New Roman"/>
                <w:sz w:val="22"/>
                <w:szCs w:val="22"/>
                <w:lang w:eastAsia="bg-BG"/>
              </w:rPr>
              <w:t>(0,70)</w:t>
            </w:r>
          </w:p>
        </w:tc>
        <w:tc>
          <w:tcPr>
            <w:tcW w:w="2445" w:type="dxa"/>
          </w:tcPr>
          <w:p w:rsidR="00DA1A4F" w:rsidRPr="00730366" w:rsidRDefault="00DA1A4F" w:rsidP="00216389">
            <w:pPr>
              <w:autoSpaceDE w:val="0"/>
              <w:autoSpaceDN w:val="0"/>
              <w:adjustRightInd w:val="0"/>
              <w:spacing w:line="276" w:lineRule="auto"/>
              <w:jc w:val="center"/>
              <w:rPr>
                <w:rFonts w:ascii="Times New Roman" w:hAnsi="Times New Roman"/>
                <w:sz w:val="22"/>
                <w:szCs w:val="22"/>
                <w:lang w:eastAsia="bg-BG"/>
              </w:rPr>
            </w:pPr>
            <w:r w:rsidRPr="00730366">
              <w:rPr>
                <w:rFonts w:ascii="Times New Roman" w:hAnsi="Times New Roman"/>
                <w:sz w:val="22"/>
                <w:szCs w:val="22"/>
                <w:lang w:eastAsia="bg-BG"/>
              </w:rPr>
              <w:t>100</w:t>
            </w:r>
          </w:p>
        </w:tc>
        <w:tc>
          <w:tcPr>
            <w:tcW w:w="2445" w:type="dxa"/>
          </w:tcPr>
          <w:p w:rsidR="00DA1A4F" w:rsidRPr="009A3510" w:rsidRDefault="00DA1A4F" w:rsidP="00216389">
            <w:pPr>
              <w:autoSpaceDE w:val="0"/>
              <w:autoSpaceDN w:val="0"/>
              <w:adjustRightInd w:val="0"/>
              <w:spacing w:line="276" w:lineRule="auto"/>
              <w:jc w:val="center"/>
              <w:rPr>
                <w:rFonts w:ascii="Times New Roman" w:hAnsi="Times New Roman"/>
                <w:sz w:val="22"/>
                <w:szCs w:val="22"/>
                <w:lang w:eastAsia="bg-BG"/>
              </w:rPr>
            </w:pPr>
            <w:r w:rsidRPr="009A3510">
              <w:rPr>
                <w:rFonts w:ascii="Times New Roman" w:hAnsi="Times New Roman"/>
                <w:b/>
                <w:bCs/>
                <w:sz w:val="22"/>
                <w:szCs w:val="22"/>
                <w:lang w:eastAsia="bg-BG"/>
              </w:rPr>
              <w:t>Т</w:t>
            </w:r>
            <w:r w:rsidR="000F7AFC">
              <w:rPr>
                <w:rFonts w:ascii="Times New Roman" w:hAnsi="Times New Roman"/>
                <w:b/>
                <w:bCs/>
                <w:sz w:val="22"/>
                <w:szCs w:val="22"/>
                <w:lang w:eastAsia="bg-BG"/>
              </w:rPr>
              <w:t>П</w:t>
            </w:r>
          </w:p>
        </w:tc>
      </w:tr>
      <w:tr w:rsidR="006A2B1D" w:rsidRPr="009A3510" w:rsidTr="009A3510">
        <w:tc>
          <w:tcPr>
            <w:tcW w:w="2802" w:type="dxa"/>
          </w:tcPr>
          <w:p w:rsidR="006A2B1D" w:rsidRPr="00F0199C" w:rsidRDefault="006A2B1D" w:rsidP="006E4984">
            <w:pPr>
              <w:autoSpaceDE w:val="0"/>
              <w:autoSpaceDN w:val="0"/>
              <w:adjustRightInd w:val="0"/>
              <w:spacing w:line="276" w:lineRule="auto"/>
              <w:rPr>
                <w:rFonts w:ascii="Times New Roman" w:hAnsi="Times New Roman"/>
                <w:b/>
                <w:sz w:val="22"/>
                <w:szCs w:val="22"/>
                <w:lang w:eastAsia="bg-BG"/>
              </w:rPr>
            </w:pPr>
            <w:r w:rsidRPr="00F0199C">
              <w:rPr>
                <w:rFonts w:ascii="Times New Roman" w:hAnsi="Times New Roman"/>
                <w:b/>
                <w:sz w:val="22"/>
                <w:szCs w:val="22"/>
                <w:lang w:eastAsia="bg-BG"/>
              </w:rPr>
              <w:t>Общо:</w:t>
            </w:r>
          </w:p>
        </w:tc>
        <w:tc>
          <w:tcPr>
            <w:tcW w:w="2087" w:type="dxa"/>
          </w:tcPr>
          <w:p w:rsidR="006A2B1D" w:rsidRPr="009A3510" w:rsidRDefault="006A2B1D" w:rsidP="00216389">
            <w:pPr>
              <w:autoSpaceDE w:val="0"/>
              <w:autoSpaceDN w:val="0"/>
              <w:adjustRightInd w:val="0"/>
              <w:spacing w:line="276" w:lineRule="auto"/>
              <w:jc w:val="center"/>
              <w:rPr>
                <w:rFonts w:ascii="Times New Roman" w:hAnsi="Times New Roman"/>
                <w:b/>
                <w:bCs/>
                <w:sz w:val="22"/>
                <w:szCs w:val="22"/>
                <w:lang w:eastAsia="bg-BG"/>
              </w:rPr>
            </w:pPr>
            <w:r>
              <w:rPr>
                <w:rFonts w:ascii="Times New Roman" w:hAnsi="Times New Roman"/>
                <w:b/>
                <w:bCs/>
                <w:sz w:val="22"/>
                <w:szCs w:val="22"/>
                <w:lang w:eastAsia="bg-BG"/>
              </w:rPr>
              <w:t>100%</w:t>
            </w:r>
          </w:p>
        </w:tc>
        <w:tc>
          <w:tcPr>
            <w:tcW w:w="2445" w:type="dxa"/>
          </w:tcPr>
          <w:p w:rsidR="006A2B1D" w:rsidRPr="00F77AE4" w:rsidRDefault="006A2B1D" w:rsidP="006E4984">
            <w:pPr>
              <w:autoSpaceDE w:val="0"/>
              <w:autoSpaceDN w:val="0"/>
              <w:adjustRightInd w:val="0"/>
              <w:spacing w:line="276" w:lineRule="auto"/>
              <w:rPr>
                <w:rFonts w:ascii="Times New Roman" w:hAnsi="Times New Roman"/>
                <w:color w:val="FF0000"/>
                <w:sz w:val="22"/>
                <w:szCs w:val="22"/>
                <w:lang w:eastAsia="bg-BG"/>
              </w:rPr>
            </w:pPr>
          </w:p>
        </w:tc>
        <w:tc>
          <w:tcPr>
            <w:tcW w:w="2445" w:type="dxa"/>
          </w:tcPr>
          <w:p w:rsidR="006A2B1D" w:rsidRPr="009A3510" w:rsidRDefault="006A2B1D" w:rsidP="006E4984">
            <w:pPr>
              <w:autoSpaceDE w:val="0"/>
              <w:autoSpaceDN w:val="0"/>
              <w:adjustRightInd w:val="0"/>
              <w:spacing w:line="276" w:lineRule="auto"/>
              <w:rPr>
                <w:rFonts w:ascii="Times New Roman" w:hAnsi="Times New Roman"/>
                <w:b/>
                <w:bCs/>
                <w:sz w:val="22"/>
                <w:szCs w:val="22"/>
                <w:lang w:eastAsia="bg-BG"/>
              </w:rPr>
            </w:pPr>
          </w:p>
        </w:tc>
      </w:tr>
    </w:tbl>
    <w:p w:rsidR="00DA1A4F" w:rsidRPr="009A3510" w:rsidRDefault="00DA1A4F" w:rsidP="006E4984">
      <w:pPr>
        <w:autoSpaceDE w:val="0"/>
        <w:autoSpaceDN w:val="0"/>
        <w:adjustRightInd w:val="0"/>
        <w:spacing w:line="276" w:lineRule="auto"/>
        <w:rPr>
          <w:rFonts w:ascii="Times New Roman" w:hAnsi="Times New Roman"/>
          <w:sz w:val="22"/>
          <w:szCs w:val="22"/>
          <w:lang w:eastAsia="bg-BG"/>
        </w:rPr>
      </w:pPr>
    </w:p>
    <w:p w:rsidR="00DA1A4F" w:rsidRPr="009A1E08" w:rsidRDefault="00DA1A4F" w:rsidP="006E4984">
      <w:pPr>
        <w:autoSpaceDE w:val="0"/>
        <w:autoSpaceDN w:val="0"/>
        <w:adjustRightInd w:val="0"/>
        <w:spacing w:line="276" w:lineRule="auto"/>
        <w:rPr>
          <w:rFonts w:ascii="Times New Roman" w:hAnsi="Times New Roman"/>
          <w:i/>
          <w:iCs/>
          <w:sz w:val="21"/>
          <w:szCs w:val="21"/>
          <w:lang w:eastAsia="bg-BG"/>
        </w:rPr>
      </w:pPr>
      <w:r w:rsidRPr="009A1E08">
        <w:rPr>
          <w:rFonts w:ascii="Times New Roman" w:hAnsi="Times New Roman"/>
          <w:i/>
          <w:iCs/>
          <w:sz w:val="21"/>
          <w:szCs w:val="21"/>
          <w:lang w:eastAsia="bg-BG"/>
        </w:rPr>
        <w:t>Максимален брой точки по всички критерии – 100.</w:t>
      </w:r>
    </w:p>
    <w:p w:rsidR="00DA1A4F" w:rsidRPr="009A3510" w:rsidRDefault="00DA1A4F" w:rsidP="006E4984">
      <w:pPr>
        <w:autoSpaceDE w:val="0"/>
        <w:autoSpaceDN w:val="0"/>
        <w:adjustRightInd w:val="0"/>
        <w:spacing w:line="276" w:lineRule="auto"/>
        <w:rPr>
          <w:rFonts w:ascii="Times New Roman" w:hAnsi="Times New Roman"/>
          <w:i/>
          <w:iCs/>
          <w:sz w:val="18"/>
          <w:szCs w:val="18"/>
          <w:lang w:eastAsia="bg-BG"/>
        </w:rPr>
      </w:pPr>
      <w:r w:rsidRPr="009A3510">
        <w:rPr>
          <w:rFonts w:ascii="Times New Roman" w:hAnsi="Times New Roman"/>
          <w:sz w:val="18"/>
          <w:szCs w:val="18"/>
          <w:lang w:eastAsia="bg-BG"/>
        </w:rPr>
        <w:t xml:space="preserve">• </w:t>
      </w:r>
      <w:r w:rsidRPr="009A3510">
        <w:rPr>
          <w:rFonts w:ascii="Times New Roman" w:hAnsi="Times New Roman"/>
          <w:i/>
          <w:iCs/>
          <w:sz w:val="18"/>
          <w:szCs w:val="18"/>
          <w:lang w:eastAsia="bg-BG"/>
        </w:rPr>
        <w:t>В колона № 1 са посочени определените показатели с техните обозначения;</w:t>
      </w:r>
    </w:p>
    <w:p w:rsidR="00DA1A4F" w:rsidRPr="009A3510" w:rsidRDefault="00DA1A4F" w:rsidP="006E4984">
      <w:pPr>
        <w:autoSpaceDE w:val="0"/>
        <w:autoSpaceDN w:val="0"/>
        <w:adjustRightInd w:val="0"/>
        <w:spacing w:line="276" w:lineRule="auto"/>
        <w:rPr>
          <w:rFonts w:ascii="Times New Roman" w:hAnsi="Times New Roman"/>
          <w:i/>
          <w:iCs/>
          <w:sz w:val="18"/>
          <w:szCs w:val="18"/>
          <w:lang w:eastAsia="bg-BG"/>
        </w:rPr>
      </w:pPr>
      <w:r w:rsidRPr="009A3510">
        <w:rPr>
          <w:rFonts w:ascii="Times New Roman" w:hAnsi="Times New Roman"/>
          <w:sz w:val="18"/>
          <w:szCs w:val="18"/>
          <w:lang w:eastAsia="bg-BG"/>
        </w:rPr>
        <w:t xml:space="preserve">• </w:t>
      </w:r>
      <w:r w:rsidRPr="009A3510">
        <w:rPr>
          <w:rFonts w:ascii="Times New Roman" w:hAnsi="Times New Roman"/>
          <w:i/>
          <w:iCs/>
          <w:sz w:val="18"/>
          <w:szCs w:val="18"/>
          <w:lang w:eastAsia="bg-BG"/>
        </w:rPr>
        <w:t>В колона №2 са посочени относителните тегла на всеки показател, като процент от комплексната оценка (до 100%);</w:t>
      </w:r>
    </w:p>
    <w:p w:rsidR="00DA1A4F" w:rsidRPr="009A3510" w:rsidRDefault="00DA1A4F" w:rsidP="006E4984">
      <w:pPr>
        <w:autoSpaceDE w:val="0"/>
        <w:autoSpaceDN w:val="0"/>
        <w:adjustRightInd w:val="0"/>
        <w:spacing w:line="276" w:lineRule="auto"/>
        <w:rPr>
          <w:rFonts w:ascii="Times New Roman" w:hAnsi="Times New Roman"/>
          <w:i/>
          <w:iCs/>
          <w:sz w:val="18"/>
          <w:szCs w:val="18"/>
          <w:lang w:eastAsia="bg-BG"/>
        </w:rPr>
      </w:pPr>
      <w:r w:rsidRPr="009A3510">
        <w:rPr>
          <w:rFonts w:ascii="Times New Roman" w:hAnsi="Times New Roman"/>
          <w:sz w:val="18"/>
          <w:szCs w:val="18"/>
          <w:lang w:eastAsia="bg-BG"/>
        </w:rPr>
        <w:t xml:space="preserve">• </w:t>
      </w:r>
      <w:r w:rsidRPr="009A3510">
        <w:rPr>
          <w:rFonts w:ascii="Times New Roman" w:hAnsi="Times New Roman"/>
          <w:i/>
          <w:iCs/>
          <w:sz w:val="18"/>
          <w:szCs w:val="18"/>
          <w:lang w:eastAsia="bg-BG"/>
        </w:rPr>
        <w:t>В колона № 3 е посочен максимално възможният брой точки за всеки показател;</w:t>
      </w:r>
    </w:p>
    <w:p w:rsidR="00DA1A4F" w:rsidRPr="009A3510" w:rsidRDefault="00DA1A4F" w:rsidP="006E4984">
      <w:pPr>
        <w:autoSpaceDE w:val="0"/>
        <w:autoSpaceDN w:val="0"/>
        <w:adjustRightInd w:val="0"/>
        <w:spacing w:line="276" w:lineRule="auto"/>
        <w:rPr>
          <w:rFonts w:ascii="Times New Roman" w:hAnsi="Times New Roman"/>
          <w:i/>
          <w:iCs/>
          <w:sz w:val="18"/>
          <w:szCs w:val="18"/>
          <w:lang w:eastAsia="bg-BG"/>
        </w:rPr>
      </w:pPr>
      <w:r w:rsidRPr="009A3510">
        <w:rPr>
          <w:rFonts w:ascii="Times New Roman" w:hAnsi="Times New Roman"/>
          <w:sz w:val="18"/>
          <w:szCs w:val="18"/>
          <w:lang w:eastAsia="bg-BG"/>
        </w:rPr>
        <w:t xml:space="preserve">• </w:t>
      </w:r>
      <w:r w:rsidRPr="009A3510">
        <w:rPr>
          <w:rFonts w:ascii="Times New Roman" w:hAnsi="Times New Roman"/>
          <w:i/>
          <w:iCs/>
          <w:sz w:val="18"/>
          <w:szCs w:val="18"/>
          <w:lang w:eastAsia="bg-BG"/>
        </w:rPr>
        <w:t>В колона № 4 е дадено символното обозначение на точките, които ще получи дадена оферта в конкретен</w:t>
      </w:r>
    </w:p>
    <w:p w:rsidR="00DA1A4F" w:rsidRPr="009A3510" w:rsidRDefault="00DA1A4F" w:rsidP="006E4984">
      <w:pPr>
        <w:autoSpaceDE w:val="0"/>
        <w:autoSpaceDN w:val="0"/>
        <w:adjustRightInd w:val="0"/>
        <w:spacing w:line="276" w:lineRule="auto"/>
        <w:rPr>
          <w:rFonts w:ascii="Times New Roman" w:hAnsi="Times New Roman"/>
          <w:sz w:val="22"/>
          <w:szCs w:val="22"/>
          <w:lang w:eastAsia="bg-BG"/>
        </w:rPr>
      </w:pPr>
      <w:r w:rsidRPr="009A3510">
        <w:rPr>
          <w:rFonts w:ascii="Times New Roman" w:hAnsi="Times New Roman"/>
          <w:i/>
          <w:iCs/>
          <w:sz w:val="18"/>
          <w:szCs w:val="18"/>
          <w:lang w:eastAsia="bg-BG"/>
        </w:rPr>
        <w:t>показател.</w:t>
      </w:r>
    </w:p>
    <w:p w:rsidR="00DA1A4F" w:rsidRPr="009A3510" w:rsidRDefault="00DA1A4F" w:rsidP="00DA1A4F">
      <w:pPr>
        <w:autoSpaceDE w:val="0"/>
        <w:autoSpaceDN w:val="0"/>
        <w:adjustRightInd w:val="0"/>
        <w:jc w:val="both"/>
        <w:rPr>
          <w:rFonts w:ascii="Times New Roman" w:hAnsi="Times New Roman"/>
          <w:color w:val="FF0000"/>
          <w:sz w:val="20"/>
        </w:rPr>
      </w:pPr>
    </w:p>
    <w:p w:rsidR="00DA1A4F" w:rsidRPr="009A3510" w:rsidRDefault="00DA1A4F" w:rsidP="00DA1A4F">
      <w:pPr>
        <w:autoSpaceDE w:val="0"/>
        <w:autoSpaceDN w:val="0"/>
        <w:adjustRightInd w:val="0"/>
        <w:jc w:val="both"/>
        <w:rPr>
          <w:rFonts w:ascii="Times New Roman" w:hAnsi="Times New Roman"/>
          <w:b/>
          <w:bCs/>
          <w:sz w:val="22"/>
          <w:szCs w:val="22"/>
          <w:lang w:eastAsia="bg-BG"/>
        </w:rPr>
      </w:pPr>
      <w:r w:rsidRPr="009A3510">
        <w:rPr>
          <w:rFonts w:ascii="Times New Roman" w:hAnsi="Times New Roman"/>
          <w:b/>
          <w:bCs/>
          <w:sz w:val="22"/>
          <w:szCs w:val="22"/>
          <w:lang w:eastAsia="bg-BG"/>
        </w:rPr>
        <w:t>II. МЕТОДИКА ЗА ОЦЕНКА НА ПРЕДЛОЖЕНИЯТА НА УЧАСТНИЦИТЕ</w:t>
      </w:r>
    </w:p>
    <w:p w:rsidR="00DA1A4F" w:rsidRPr="009A3510" w:rsidRDefault="00DA1A4F" w:rsidP="00DA1A4F">
      <w:pPr>
        <w:autoSpaceDE w:val="0"/>
        <w:autoSpaceDN w:val="0"/>
        <w:adjustRightInd w:val="0"/>
        <w:jc w:val="both"/>
        <w:rPr>
          <w:rFonts w:ascii="Times New Roman" w:hAnsi="Times New Roman"/>
          <w:b/>
          <w:bCs/>
          <w:sz w:val="22"/>
          <w:szCs w:val="22"/>
          <w:lang w:eastAsia="bg-BG"/>
        </w:rPr>
      </w:pPr>
    </w:p>
    <w:p w:rsidR="00DA1A4F" w:rsidRPr="009A3510" w:rsidRDefault="00DA1A4F" w:rsidP="006E4984">
      <w:pPr>
        <w:autoSpaceDE w:val="0"/>
        <w:autoSpaceDN w:val="0"/>
        <w:adjustRightInd w:val="0"/>
        <w:spacing w:line="276" w:lineRule="auto"/>
        <w:rPr>
          <w:rFonts w:ascii="Times New Roman" w:hAnsi="Times New Roman"/>
          <w:b/>
          <w:bCs/>
          <w:sz w:val="22"/>
          <w:szCs w:val="22"/>
          <w:lang w:eastAsia="bg-BG"/>
        </w:rPr>
      </w:pPr>
      <w:r w:rsidRPr="009A3510">
        <w:rPr>
          <w:rFonts w:ascii="Times New Roman" w:hAnsi="Times New Roman"/>
          <w:b/>
          <w:bCs/>
          <w:sz w:val="22"/>
          <w:szCs w:val="22"/>
          <w:lang w:eastAsia="bg-BG"/>
        </w:rPr>
        <w:t>Показател 1 „Предложена цена“</w:t>
      </w:r>
    </w:p>
    <w:p w:rsidR="00DA1A4F" w:rsidRPr="009A3510" w:rsidRDefault="00DA1A4F" w:rsidP="006E4984">
      <w:pPr>
        <w:autoSpaceDE w:val="0"/>
        <w:autoSpaceDN w:val="0"/>
        <w:adjustRightInd w:val="0"/>
        <w:spacing w:line="276" w:lineRule="auto"/>
        <w:rPr>
          <w:rFonts w:ascii="Times New Roman" w:hAnsi="Times New Roman"/>
          <w:sz w:val="22"/>
          <w:szCs w:val="22"/>
          <w:lang w:eastAsia="bg-BG"/>
        </w:rPr>
      </w:pPr>
      <w:r w:rsidRPr="009A3510">
        <w:rPr>
          <w:rFonts w:ascii="Times New Roman" w:hAnsi="Times New Roman"/>
          <w:sz w:val="22"/>
          <w:szCs w:val="22"/>
          <w:lang w:eastAsia="bg-BG"/>
        </w:rPr>
        <w:t>Показател 1 „Предложена цена”, с максимален брой точки 100 и относително тегло в</w:t>
      </w:r>
    </w:p>
    <w:p w:rsidR="00DA1A4F" w:rsidRPr="009A3510" w:rsidRDefault="00DA1A4F" w:rsidP="006E4984">
      <w:pPr>
        <w:autoSpaceDE w:val="0"/>
        <w:autoSpaceDN w:val="0"/>
        <w:adjustRightInd w:val="0"/>
        <w:spacing w:line="276" w:lineRule="auto"/>
        <w:rPr>
          <w:rFonts w:ascii="Times New Roman" w:hAnsi="Times New Roman"/>
          <w:b/>
          <w:bCs/>
          <w:sz w:val="22"/>
          <w:szCs w:val="22"/>
          <w:lang w:eastAsia="bg-BG"/>
        </w:rPr>
      </w:pPr>
      <w:r w:rsidRPr="009A3510">
        <w:rPr>
          <w:rFonts w:ascii="Times New Roman" w:hAnsi="Times New Roman"/>
          <w:sz w:val="22"/>
          <w:szCs w:val="22"/>
          <w:lang w:eastAsia="bg-BG"/>
        </w:rPr>
        <w:t xml:space="preserve">комплексната оценка – </w:t>
      </w:r>
      <w:r w:rsidRPr="009A3510">
        <w:rPr>
          <w:rFonts w:ascii="Times New Roman" w:hAnsi="Times New Roman"/>
          <w:b/>
          <w:bCs/>
          <w:sz w:val="22"/>
          <w:szCs w:val="22"/>
          <w:lang w:eastAsia="bg-BG"/>
        </w:rPr>
        <w:t>0,30</w:t>
      </w:r>
    </w:p>
    <w:p w:rsidR="00DA1A4F" w:rsidRPr="009A3510" w:rsidRDefault="00DA1A4F" w:rsidP="006E4984">
      <w:pPr>
        <w:autoSpaceDE w:val="0"/>
        <w:autoSpaceDN w:val="0"/>
        <w:adjustRightInd w:val="0"/>
        <w:spacing w:line="276" w:lineRule="auto"/>
        <w:rPr>
          <w:rFonts w:ascii="Times New Roman" w:hAnsi="Times New Roman"/>
          <w:sz w:val="22"/>
          <w:szCs w:val="22"/>
          <w:lang w:eastAsia="bg-BG"/>
        </w:rPr>
      </w:pPr>
      <w:r w:rsidRPr="009A3510">
        <w:rPr>
          <w:rFonts w:ascii="Times New Roman" w:hAnsi="Times New Roman"/>
          <w:sz w:val="22"/>
          <w:szCs w:val="22"/>
          <w:lang w:eastAsia="bg-BG"/>
        </w:rPr>
        <w:t>Максимален брой точки получава офертата с предложена най-ниска цена (в лева, без ДДС) – 100</w:t>
      </w:r>
    </w:p>
    <w:p w:rsidR="00DA1A4F" w:rsidRPr="009A3510" w:rsidRDefault="00DA1A4F" w:rsidP="006E4984">
      <w:pPr>
        <w:autoSpaceDE w:val="0"/>
        <w:autoSpaceDN w:val="0"/>
        <w:adjustRightInd w:val="0"/>
        <w:spacing w:line="276" w:lineRule="auto"/>
        <w:rPr>
          <w:rFonts w:ascii="Times New Roman" w:hAnsi="Times New Roman"/>
          <w:sz w:val="22"/>
          <w:szCs w:val="22"/>
          <w:lang w:eastAsia="bg-BG"/>
        </w:rPr>
      </w:pPr>
      <w:r w:rsidRPr="009A3510">
        <w:rPr>
          <w:rFonts w:ascii="Times New Roman" w:hAnsi="Times New Roman"/>
          <w:sz w:val="22"/>
          <w:szCs w:val="22"/>
          <w:lang w:eastAsia="bg-BG"/>
        </w:rPr>
        <w:t>точки. Точките на останалите участници се определят по следната формула:</w:t>
      </w:r>
    </w:p>
    <w:p w:rsidR="00DA1A4F" w:rsidRPr="009A3510" w:rsidRDefault="00DA1A4F" w:rsidP="006E4984">
      <w:pPr>
        <w:autoSpaceDE w:val="0"/>
        <w:autoSpaceDN w:val="0"/>
        <w:adjustRightInd w:val="0"/>
        <w:spacing w:line="276" w:lineRule="auto"/>
        <w:rPr>
          <w:rFonts w:ascii="Times New Roman" w:hAnsi="Times New Roman"/>
          <w:b/>
          <w:bCs/>
          <w:sz w:val="22"/>
          <w:szCs w:val="22"/>
          <w:lang w:eastAsia="bg-BG"/>
        </w:rPr>
      </w:pPr>
      <w:r w:rsidRPr="009A3510">
        <w:rPr>
          <w:rFonts w:ascii="Times New Roman" w:hAnsi="Times New Roman"/>
          <w:b/>
          <w:bCs/>
          <w:sz w:val="22"/>
          <w:szCs w:val="22"/>
          <w:lang w:eastAsia="bg-BG"/>
        </w:rPr>
        <w:t xml:space="preserve">                     Т ц min</w:t>
      </w:r>
    </w:p>
    <w:p w:rsidR="00DA1A4F" w:rsidRPr="009A3510" w:rsidRDefault="00DA1A4F" w:rsidP="006E4984">
      <w:pPr>
        <w:autoSpaceDE w:val="0"/>
        <w:autoSpaceDN w:val="0"/>
        <w:adjustRightInd w:val="0"/>
        <w:spacing w:line="276" w:lineRule="auto"/>
        <w:rPr>
          <w:rFonts w:ascii="Times New Roman" w:hAnsi="Times New Roman"/>
          <w:sz w:val="22"/>
          <w:szCs w:val="22"/>
          <w:lang w:eastAsia="bg-BG"/>
        </w:rPr>
      </w:pPr>
      <w:r w:rsidRPr="009A3510">
        <w:rPr>
          <w:rFonts w:ascii="Times New Roman" w:hAnsi="Times New Roman"/>
          <w:b/>
          <w:bCs/>
          <w:sz w:val="22"/>
          <w:szCs w:val="22"/>
          <w:lang w:eastAsia="bg-BG"/>
        </w:rPr>
        <w:t>Т ц = 100 х --------------</w:t>
      </w:r>
      <w:r w:rsidRPr="009A3510">
        <w:rPr>
          <w:rFonts w:ascii="Times New Roman" w:hAnsi="Times New Roman"/>
          <w:sz w:val="22"/>
          <w:szCs w:val="22"/>
          <w:lang w:eastAsia="bg-BG"/>
        </w:rPr>
        <w:t>, където:</w:t>
      </w:r>
    </w:p>
    <w:p w:rsidR="00DA1A4F" w:rsidRPr="009A3510" w:rsidRDefault="00DA1A4F" w:rsidP="006E4984">
      <w:pPr>
        <w:autoSpaceDE w:val="0"/>
        <w:autoSpaceDN w:val="0"/>
        <w:adjustRightInd w:val="0"/>
        <w:spacing w:line="276" w:lineRule="auto"/>
        <w:rPr>
          <w:rFonts w:ascii="Times New Roman" w:hAnsi="Times New Roman"/>
          <w:b/>
          <w:bCs/>
          <w:sz w:val="22"/>
          <w:szCs w:val="22"/>
          <w:lang w:eastAsia="bg-BG"/>
        </w:rPr>
      </w:pPr>
      <w:r w:rsidRPr="009A3510">
        <w:rPr>
          <w:rFonts w:ascii="Times New Roman" w:hAnsi="Times New Roman"/>
          <w:b/>
          <w:bCs/>
          <w:sz w:val="22"/>
          <w:szCs w:val="22"/>
          <w:lang w:eastAsia="bg-BG"/>
        </w:rPr>
        <w:t xml:space="preserve">                          Т ц n</w:t>
      </w:r>
    </w:p>
    <w:p w:rsidR="00DA1A4F" w:rsidRPr="009A3510" w:rsidRDefault="00DA1A4F" w:rsidP="006E4984">
      <w:pPr>
        <w:autoSpaceDE w:val="0"/>
        <w:autoSpaceDN w:val="0"/>
        <w:adjustRightInd w:val="0"/>
        <w:spacing w:line="276" w:lineRule="auto"/>
        <w:rPr>
          <w:rFonts w:ascii="Times New Roman" w:hAnsi="Times New Roman"/>
          <w:sz w:val="22"/>
          <w:szCs w:val="22"/>
          <w:lang w:eastAsia="bg-BG"/>
        </w:rPr>
      </w:pPr>
      <w:r w:rsidRPr="009A3510">
        <w:rPr>
          <w:rFonts w:ascii="Times New Roman" w:hAnsi="Times New Roman"/>
          <w:b/>
          <w:bCs/>
          <w:sz w:val="22"/>
          <w:szCs w:val="22"/>
          <w:lang w:eastAsia="bg-BG"/>
        </w:rPr>
        <w:t xml:space="preserve">Т ц min </w:t>
      </w:r>
      <w:r w:rsidRPr="009A3510">
        <w:rPr>
          <w:rFonts w:ascii="Times New Roman" w:hAnsi="Times New Roman"/>
          <w:sz w:val="22"/>
          <w:szCs w:val="22"/>
          <w:lang w:eastAsia="bg-BG"/>
        </w:rPr>
        <w:t>е най-ниската предложена цена (в лева, без ДДС)</w:t>
      </w:r>
    </w:p>
    <w:p w:rsidR="00DA1A4F" w:rsidRPr="009A3510" w:rsidRDefault="00DA1A4F" w:rsidP="006E4984">
      <w:pPr>
        <w:autoSpaceDE w:val="0"/>
        <w:autoSpaceDN w:val="0"/>
        <w:adjustRightInd w:val="0"/>
        <w:spacing w:line="276" w:lineRule="auto"/>
        <w:rPr>
          <w:rFonts w:ascii="Times New Roman" w:hAnsi="Times New Roman"/>
          <w:sz w:val="22"/>
          <w:szCs w:val="22"/>
          <w:lang w:eastAsia="bg-BG"/>
        </w:rPr>
      </w:pPr>
      <w:r w:rsidRPr="009A3510">
        <w:rPr>
          <w:rFonts w:ascii="Times New Roman" w:hAnsi="Times New Roman"/>
          <w:b/>
          <w:bCs/>
          <w:sz w:val="22"/>
          <w:szCs w:val="22"/>
          <w:lang w:eastAsia="bg-BG"/>
        </w:rPr>
        <w:t xml:space="preserve">Т ц n </w:t>
      </w:r>
      <w:r w:rsidRPr="009A3510">
        <w:rPr>
          <w:rFonts w:ascii="Times New Roman" w:hAnsi="Times New Roman"/>
          <w:sz w:val="22"/>
          <w:szCs w:val="22"/>
          <w:lang w:eastAsia="bg-BG"/>
        </w:rPr>
        <w:t>е цена на n-тия участник (в лева, без ДДС)</w:t>
      </w:r>
    </w:p>
    <w:p w:rsidR="00DA1A4F" w:rsidRPr="009A3510" w:rsidRDefault="00DA1A4F" w:rsidP="006E4984">
      <w:pPr>
        <w:autoSpaceDE w:val="0"/>
        <w:autoSpaceDN w:val="0"/>
        <w:adjustRightInd w:val="0"/>
        <w:spacing w:line="276" w:lineRule="auto"/>
        <w:rPr>
          <w:rFonts w:ascii="Times New Roman" w:hAnsi="Times New Roman"/>
          <w:sz w:val="22"/>
          <w:szCs w:val="22"/>
          <w:lang w:eastAsia="bg-BG"/>
        </w:rPr>
      </w:pPr>
      <w:r w:rsidRPr="009A3510">
        <w:rPr>
          <w:rFonts w:ascii="Times New Roman" w:hAnsi="Times New Roman"/>
          <w:sz w:val="22"/>
          <w:szCs w:val="22"/>
          <w:lang w:eastAsia="bg-BG"/>
        </w:rPr>
        <w:t>Точките по първия показател на n-тия участник се получават по следната формула:</w:t>
      </w:r>
    </w:p>
    <w:p w:rsidR="00DA1A4F" w:rsidRPr="009A3510" w:rsidRDefault="00DA1A4F" w:rsidP="006E4984">
      <w:pPr>
        <w:autoSpaceDE w:val="0"/>
        <w:autoSpaceDN w:val="0"/>
        <w:adjustRightInd w:val="0"/>
        <w:spacing w:line="276" w:lineRule="auto"/>
        <w:rPr>
          <w:rFonts w:ascii="Times New Roman" w:hAnsi="Times New Roman"/>
          <w:sz w:val="22"/>
          <w:szCs w:val="22"/>
          <w:lang w:eastAsia="bg-BG"/>
        </w:rPr>
      </w:pPr>
      <w:r w:rsidRPr="009A3510">
        <w:rPr>
          <w:rFonts w:ascii="Times New Roman" w:hAnsi="Times New Roman"/>
          <w:b/>
          <w:bCs/>
          <w:sz w:val="22"/>
          <w:szCs w:val="22"/>
          <w:lang w:eastAsia="bg-BG"/>
        </w:rPr>
        <w:t xml:space="preserve">П 1 = Т ц х 0,30 </w:t>
      </w:r>
      <w:r w:rsidRPr="009A3510">
        <w:rPr>
          <w:rFonts w:ascii="Times New Roman" w:hAnsi="Times New Roman"/>
          <w:sz w:val="22"/>
          <w:szCs w:val="22"/>
          <w:lang w:eastAsia="bg-BG"/>
        </w:rPr>
        <w:t xml:space="preserve">, където „0,30” е относителното тегло на показателя </w:t>
      </w:r>
    </w:p>
    <w:p w:rsidR="001916ED" w:rsidRDefault="001916ED" w:rsidP="006E4984">
      <w:pPr>
        <w:autoSpaceDE w:val="0"/>
        <w:autoSpaceDN w:val="0"/>
        <w:adjustRightInd w:val="0"/>
        <w:spacing w:line="276" w:lineRule="auto"/>
        <w:rPr>
          <w:rFonts w:ascii="Times New Roman" w:hAnsi="Times New Roman"/>
          <w:b/>
          <w:bCs/>
          <w:i/>
          <w:iCs/>
          <w:sz w:val="20"/>
          <w:lang w:eastAsia="bg-BG"/>
        </w:rPr>
      </w:pPr>
    </w:p>
    <w:p w:rsidR="00DA1A4F" w:rsidRPr="009A3510" w:rsidRDefault="00DA1A4F" w:rsidP="006E4984">
      <w:pPr>
        <w:autoSpaceDE w:val="0"/>
        <w:autoSpaceDN w:val="0"/>
        <w:adjustRightInd w:val="0"/>
        <w:spacing w:line="276" w:lineRule="auto"/>
        <w:rPr>
          <w:rFonts w:ascii="Times New Roman" w:hAnsi="Times New Roman"/>
          <w:i/>
          <w:iCs/>
          <w:sz w:val="20"/>
          <w:lang w:eastAsia="bg-BG"/>
        </w:rPr>
      </w:pPr>
      <w:r w:rsidRPr="009A3510">
        <w:rPr>
          <w:rFonts w:ascii="Times New Roman" w:hAnsi="Times New Roman"/>
          <w:b/>
          <w:bCs/>
          <w:i/>
          <w:iCs/>
          <w:sz w:val="20"/>
          <w:lang w:eastAsia="bg-BG"/>
        </w:rPr>
        <w:t xml:space="preserve">Забележка: </w:t>
      </w:r>
      <w:r w:rsidRPr="009A3510">
        <w:rPr>
          <w:rFonts w:ascii="Times New Roman" w:hAnsi="Times New Roman"/>
          <w:i/>
          <w:iCs/>
          <w:sz w:val="20"/>
          <w:lang w:eastAsia="bg-BG"/>
        </w:rPr>
        <w:t>Стойността на точките по Показател 1 „Предложена цена” се изчислява до втория знак след десетичната запетая</w:t>
      </w:r>
    </w:p>
    <w:p w:rsidR="00DA1A4F" w:rsidRPr="009A3510" w:rsidRDefault="00DA1A4F" w:rsidP="006E4984">
      <w:pPr>
        <w:autoSpaceDE w:val="0"/>
        <w:autoSpaceDN w:val="0"/>
        <w:adjustRightInd w:val="0"/>
        <w:spacing w:line="276" w:lineRule="auto"/>
        <w:rPr>
          <w:rFonts w:ascii="Times New Roman" w:hAnsi="Times New Roman"/>
          <w:i/>
          <w:iCs/>
          <w:sz w:val="20"/>
          <w:lang w:eastAsia="bg-BG"/>
        </w:rPr>
      </w:pPr>
    </w:p>
    <w:p w:rsidR="00DA1A4F" w:rsidRPr="009A3510" w:rsidRDefault="00DA1A4F" w:rsidP="006E4984">
      <w:pPr>
        <w:autoSpaceDE w:val="0"/>
        <w:autoSpaceDN w:val="0"/>
        <w:adjustRightInd w:val="0"/>
        <w:spacing w:line="276" w:lineRule="auto"/>
        <w:rPr>
          <w:rFonts w:ascii="Times New Roman" w:hAnsi="Times New Roman"/>
          <w:b/>
          <w:bCs/>
          <w:sz w:val="22"/>
          <w:szCs w:val="22"/>
          <w:lang w:eastAsia="bg-BG"/>
        </w:rPr>
      </w:pPr>
      <w:r w:rsidRPr="009A3510">
        <w:rPr>
          <w:rFonts w:ascii="Times New Roman" w:hAnsi="Times New Roman"/>
          <w:b/>
          <w:bCs/>
          <w:sz w:val="22"/>
          <w:szCs w:val="22"/>
          <w:lang w:eastAsia="bg-BG"/>
        </w:rPr>
        <w:t>Показател 2 „Техническа оценка“</w:t>
      </w:r>
    </w:p>
    <w:p w:rsidR="00DA1A4F" w:rsidRDefault="00DA1A4F" w:rsidP="00CB632A">
      <w:pPr>
        <w:autoSpaceDE w:val="0"/>
        <w:autoSpaceDN w:val="0"/>
        <w:adjustRightInd w:val="0"/>
        <w:spacing w:line="276" w:lineRule="auto"/>
        <w:jc w:val="both"/>
        <w:rPr>
          <w:rFonts w:ascii="Times New Roman" w:hAnsi="Times New Roman"/>
          <w:b/>
          <w:bCs/>
          <w:sz w:val="22"/>
          <w:szCs w:val="22"/>
          <w:lang w:eastAsia="bg-BG"/>
        </w:rPr>
      </w:pPr>
      <w:r w:rsidRPr="009A3510">
        <w:rPr>
          <w:rFonts w:ascii="Times New Roman" w:hAnsi="Times New Roman"/>
          <w:sz w:val="22"/>
          <w:szCs w:val="22"/>
          <w:lang w:eastAsia="bg-BG"/>
        </w:rPr>
        <w:t>Показател 2 „Техническа оценка”, с максимален брой точки 100 и относително тегло в</w:t>
      </w:r>
      <w:r w:rsidR="00CB632A">
        <w:rPr>
          <w:rFonts w:ascii="Times New Roman" w:hAnsi="Times New Roman"/>
          <w:sz w:val="22"/>
          <w:szCs w:val="22"/>
          <w:lang w:eastAsia="bg-BG"/>
        </w:rPr>
        <w:t xml:space="preserve"> </w:t>
      </w:r>
      <w:r w:rsidRPr="009A3510">
        <w:rPr>
          <w:rFonts w:ascii="Times New Roman" w:hAnsi="Times New Roman"/>
          <w:sz w:val="22"/>
          <w:szCs w:val="22"/>
          <w:lang w:eastAsia="bg-BG"/>
        </w:rPr>
        <w:t xml:space="preserve">комплексната оценка – </w:t>
      </w:r>
      <w:r w:rsidRPr="009A3510">
        <w:rPr>
          <w:rFonts w:ascii="Times New Roman" w:hAnsi="Times New Roman"/>
          <w:b/>
          <w:bCs/>
          <w:sz w:val="22"/>
          <w:szCs w:val="22"/>
          <w:lang w:eastAsia="bg-BG"/>
        </w:rPr>
        <w:t>0,70</w:t>
      </w:r>
    </w:p>
    <w:p w:rsidR="00905D27" w:rsidRDefault="00905D27" w:rsidP="00905D27">
      <w:pPr>
        <w:pStyle w:val="BodyText7"/>
        <w:shd w:val="clear" w:color="auto" w:fill="auto"/>
        <w:spacing w:line="230" w:lineRule="exact"/>
        <w:ind w:firstLine="0"/>
        <w:rPr>
          <w:rStyle w:val="BodytextBold"/>
        </w:rPr>
      </w:pPr>
    </w:p>
    <w:p w:rsidR="00F86323" w:rsidRDefault="00F86323" w:rsidP="00905D27">
      <w:pPr>
        <w:pStyle w:val="BodyText7"/>
        <w:shd w:val="clear" w:color="auto" w:fill="auto"/>
        <w:spacing w:line="230" w:lineRule="exact"/>
        <w:ind w:firstLine="0"/>
      </w:pPr>
      <w:r>
        <w:rPr>
          <w:rStyle w:val="BodytextBold"/>
        </w:rPr>
        <w:t>ТЕХНИЧЕСКА ОЦЕНКА</w:t>
      </w:r>
      <w:r w:rsidR="00357B5D">
        <w:rPr>
          <w:rStyle w:val="BodytextBold"/>
        </w:rPr>
        <w:t xml:space="preserve"> -</w:t>
      </w:r>
      <w:r>
        <w:rPr>
          <w:rStyle w:val="BodytextBold"/>
        </w:rPr>
        <w:t xml:space="preserve"> </w:t>
      </w:r>
      <w:r w:rsidR="0018047B">
        <w:rPr>
          <w:rStyle w:val="BodytextBold"/>
        </w:rPr>
        <w:t>ТП</w:t>
      </w:r>
      <w:r w:rsidR="00357B5D">
        <w:rPr>
          <w:rStyle w:val="BodytextBold"/>
        </w:rPr>
        <w:t xml:space="preserve"> </w:t>
      </w:r>
      <w:r>
        <w:rPr>
          <w:rStyle w:val="BodytextBold"/>
        </w:rPr>
        <w:t>на офертата</w:t>
      </w:r>
      <w:r w:rsidR="00357B5D">
        <w:t xml:space="preserve"> </w:t>
      </w:r>
      <w:r>
        <w:t xml:space="preserve"> отчита качество</w:t>
      </w:r>
      <w:r w:rsidR="00357B5D">
        <w:t xml:space="preserve"> на офертите на кандидатите по следните подпоказатели и формула</w:t>
      </w:r>
      <w:r>
        <w:t>:</w:t>
      </w:r>
    </w:p>
    <w:p w:rsidR="00357B5D" w:rsidRDefault="00357B5D" w:rsidP="00F86323">
      <w:pPr>
        <w:pStyle w:val="BodyText7"/>
        <w:shd w:val="clear" w:color="auto" w:fill="auto"/>
        <w:spacing w:line="274" w:lineRule="exact"/>
        <w:ind w:left="120" w:right="80" w:firstLine="0"/>
      </w:pPr>
    </w:p>
    <w:p w:rsidR="000D2F76" w:rsidRDefault="000D2F76" w:rsidP="00F86323">
      <w:pPr>
        <w:pStyle w:val="BodyText7"/>
        <w:shd w:val="clear" w:color="auto" w:fill="auto"/>
        <w:spacing w:line="274" w:lineRule="exact"/>
        <w:ind w:left="120" w:right="80" w:firstLine="0"/>
      </w:pPr>
    </w:p>
    <w:p w:rsidR="00F86323" w:rsidRDefault="0018047B" w:rsidP="00F86323">
      <w:pPr>
        <w:pStyle w:val="BodyText7"/>
        <w:shd w:val="clear" w:color="auto" w:fill="auto"/>
        <w:spacing w:line="274" w:lineRule="exact"/>
        <w:ind w:left="120" w:right="80" w:firstLine="0"/>
        <w:rPr>
          <w:rStyle w:val="BodytextBold"/>
        </w:rPr>
      </w:pPr>
      <w:r>
        <w:rPr>
          <w:rStyle w:val="BodytextBold"/>
        </w:rPr>
        <w:lastRenderedPageBreak/>
        <w:t>ТП</w:t>
      </w:r>
      <w:r w:rsidR="00F86323">
        <w:rPr>
          <w:rStyle w:val="BodytextBold"/>
        </w:rPr>
        <w:t xml:space="preserve"> = П</w:t>
      </w:r>
      <w:r w:rsidR="003B428A">
        <w:rPr>
          <w:rStyle w:val="BodytextBold"/>
        </w:rPr>
        <w:t>П</w:t>
      </w:r>
      <w:r w:rsidR="00F86323">
        <w:rPr>
          <w:rStyle w:val="BodytextBold"/>
        </w:rPr>
        <w:t>1 + П</w:t>
      </w:r>
      <w:r w:rsidR="003B428A">
        <w:rPr>
          <w:rStyle w:val="BodytextBold"/>
        </w:rPr>
        <w:t>П</w:t>
      </w:r>
      <w:r w:rsidR="004550FC">
        <w:rPr>
          <w:rStyle w:val="BodytextBold"/>
        </w:rPr>
        <w:t>2</w:t>
      </w:r>
    </w:p>
    <w:p w:rsidR="000D2F76" w:rsidRDefault="000D2F76" w:rsidP="00F86323">
      <w:pPr>
        <w:pStyle w:val="BodyText7"/>
        <w:shd w:val="clear" w:color="auto" w:fill="auto"/>
        <w:spacing w:line="274" w:lineRule="exact"/>
        <w:ind w:left="120" w:right="80" w:firstLine="0"/>
      </w:pPr>
    </w:p>
    <w:p w:rsidR="00F86323" w:rsidRDefault="00F86323" w:rsidP="00F86323">
      <w:pPr>
        <w:pStyle w:val="BodyText7"/>
        <w:numPr>
          <w:ilvl w:val="0"/>
          <w:numId w:val="18"/>
        </w:numPr>
        <w:shd w:val="clear" w:color="auto" w:fill="auto"/>
        <w:tabs>
          <w:tab w:val="left" w:pos="289"/>
        </w:tabs>
        <w:spacing w:line="230" w:lineRule="exact"/>
        <w:ind w:left="120" w:firstLine="0"/>
      </w:pPr>
      <w:r>
        <w:rPr>
          <w:rStyle w:val="BodytextBold"/>
        </w:rPr>
        <w:t>П</w:t>
      </w:r>
      <w:r w:rsidR="003B428A">
        <w:rPr>
          <w:rStyle w:val="BodytextBold"/>
        </w:rPr>
        <w:t>П</w:t>
      </w:r>
      <w:r>
        <w:rPr>
          <w:rStyle w:val="BodytextBold"/>
        </w:rPr>
        <w:t>1</w:t>
      </w:r>
      <w:r>
        <w:t xml:space="preserve"> - Срок на изпълнение на поръчката</w:t>
      </w:r>
      <w:r w:rsidR="00672198">
        <w:t xml:space="preserve"> </w:t>
      </w:r>
      <w:r>
        <w:t>-</w:t>
      </w:r>
      <w:r w:rsidR="007770FF">
        <w:rPr>
          <w:rStyle w:val="BodytextBold"/>
        </w:rPr>
        <w:t xml:space="preserve"> </w:t>
      </w:r>
      <w:r w:rsidR="00374075">
        <w:rPr>
          <w:rStyle w:val="BodytextBold"/>
          <w:lang w:val="en-US"/>
        </w:rPr>
        <w:t>25</w:t>
      </w:r>
      <w:r>
        <w:rPr>
          <w:rStyle w:val="BodytextBold"/>
        </w:rPr>
        <w:t xml:space="preserve"> точки;</w:t>
      </w:r>
    </w:p>
    <w:p w:rsidR="00F86323" w:rsidRDefault="00F86323" w:rsidP="00F86323">
      <w:pPr>
        <w:pStyle w:val="BodyText7"/>
        <w:numPr>
          <w:ilvl w:val="0"/>
          <w:numId w:val="18"/>
        </w:numPr>
        <w:shd w:val="clear" w:color="auto" w:fill="auto"/>
        <w:tabs>
          <w:tab w:val="left" w:pos="289"/>
        </w:tabs>
        <w:spacing w:line="284" w:lineRule="exact"/>
        <w:ind w:left="120" w:firstLine="0"/>
      </w:pPr>
      <w:r>
        <w:rPr>
          <w:rStyle w:val="BodytextBold"/>
        </w:rPr>
        <w:t>П</w:t>
      </w:r>
      <w:r w:rsidR="003B428A">
        <w:rPr>
          <w:rStyle w:val="BodytextBold"/>
        </w:rPr>
        <w:t>П</w:t>
      </w:r>
      <w:r>
        <w:rPr>
          <w:rStyle w:val="BodytextBold"/>
        </w:rPr>
        <w:t>2</w:t>
      </w:r>
      <w:r>
        <w:t xml:space="preserve"> - Организация и изпълнение на поръчката –</w:t>
      </w:r>
      <w:r w:rsidR="003B34A7">
        <w:rPr>
          <w:rStyle w:val="BodytextBold"/>
        </w:rPr>
        <w:t xml:space="preserve"> </w:t>
      </w:r>
      <w:r w:rsidR="00492DC1">
        <w:rPr>
          <w:rStyle w:val="BodytextBold"/>
        </w:rPr>
        <w:t>7</w:t>
      </w:r>
      <w:r>
        <w:rPr>
          <w:rStyle w:val="BodytextBold"/>
        </w:rPr>
        <w:t>5 точки</w:t>
      </w:r>
    </w:p>
    <w:p w:rsidR="00F86323" w:rsidRDefault="00F86323" w:rsidP="00F86323">
      <w:pPr>
        <w:pStyle w:val="BodyText7"/>
        <w:shd w:val="clear" w:color="auto" w:fill="auto"/>
        <w:spacing w:line="284" w:lineRule="exact"/>
        <w:ind w:left="120" w:right="80" w:firstLine="0"/>
      </w:pPr>
    </w:p>
    <w:p w:rsidR="00905D27" w:rsidRPr="009A3510" w:rsidRDefault="00905D27" w:rsidP="00905D27">
      <w:pPr>
        <w:autoSpaceDE w:val="0"/>
        <w:autoSpaceDN w:val="0"/>
        <w:adjustRightInd w:val="0"/>
        <w:spacing w:line="276" w:lineRule="auto"/>
        <w:jc w:val="both"/>
        <w:rPr>
          <w:rFonts w:ascii="Times New Roman" w:hAnsi="Times New Roman"/>
          <w:b/>
          <w:bCs/>
          <w:sz w:val="22"/>
          <w:szCs w:val="22"/>
          <w:lang w:eastAsia="bg-BG"/>
        </w:rPr>
      </w:pPr>
      <w:r w:rsidRPr="009A3510">
        <w:rPr>
          <w:rFonts w:ascii="Times New Roman" w:hAnsi="Times New Roman"/>
          <w:b/>
          <w:bCs/>
          <w:sz w:val="22"/>
          <w:szCs w:val="22"/>
          <w:lang w:eastAsia="bg-BG"/>
        </w:rPr>
        <w:t>Точките по втория показател, се получават по следната формула:</w:t>
      </w:r>
    </w:p>
    <w:p w:rsidR="00905D27" w:rsidRDefault="00905D27" w:rsidP="00905D27">
      <w:pPr>
        <w:autoSpaceDE w:val="0"/>
        <w:autoSpaceDN w:val="0"/>
        <w:adjustRightInd w:val="0"/>
        <w:spacing w:line="276" w:lineRule="auto"/>
        <w:jc w:val="both"/>
        <w:rPr>
          <w:rFonts w:ascii="Times New Roman" w:hAnsi="Times New Roman"/>
          <w:b/>
          <w:bCs/>
          <w:sz w:val="22"/>
          <w:szCs w:val="22"/>
          <w:lang w:eastAsia="bg-BG"/>
        </w:rPr>
      </w:pPr>
    </w:p>
    <w:p w:rsidR="00905D27" w:rsidRPr="009A3510" w:rsidRDefault="00905D27" w:rsidP="00905D27">
      <w:pPr>
        <w:autoSpaceDE w:val="0"/>
        <w:autoSpaceDN w:val="0"/>
        <w:adjustRightInd w:val="0"/>
        <w:spacing w:line="276" w:lineRule="auto"/>
        <w:jc w:val="both"/>
        <w:rPr>
          <w:rFonts w:ascii="Times New Roman" w:hAnsi="Times New Roman"/>
          <w:sz w:val="22"/>
          <w:szCs w:val="22"/>
          <w:lang w:eastAsia="bg-BG"/>
        </w:rPr>
      </w:pPr>
      <w:r>
        <w:rPr>
          <w:rFonts w:ascii="Times New Roman" w:hAnsi="Times New Roman"/>
          <w:b/>
          <w:bCs/>
          <w:sz w:val="22"/>
          <w:szCs w:val="22"/>
          <w:lang w:eastAsia="bg-BG"/>
        </w:rPr>
        <w:t>П 2 = ТП</w:t>
      </w:r>
      <w:r w:rsidRPr="009A3510">
        <w:rPr>
          <w:rFonts w:ascii="Times New Roman" w:hAnsi="Times New Roman"/>
          <w:b/>
          <w:bCs/>
          <w:sz w:val="22"/>
          <w:szCs w:val="22"/>
          <w:lang w:eastAsia="bg-BG"/>
        </w:rPr>
        <w:t xml:space="preserve"> х 0,70</w:t>
      </w:r>
      <w:r w:rsidRPr="009A3510">
        <w:rPr>
          <w:rFonts w:ascii="Times New Roman" w:hAnsi="Times New Roman"/>
          <w:sz w:val="22"/>
          <w:szCs w:val="22"/>
          <w:lang w:eastAsia="bg-BG"/>
        </w:rPr>
        <w:t>, където "0,70" е относителното тегло на показателя.</w:t>
      </w:r>
    </w:p>
    <w:p w:rsidR="00905D27" w:rsidRPr="009A3510" w:rsidRDefault="00905D27" w:rsidP="00905D27">
      <w:pPr>
        <w:autoSpaceDE w:val="0"/>
        <w:autoSpaceDN w:val="0"/>
        <w:adjustRightInd w:val="0"/>
        <w:spacing w:line="276" w:lineRule="auto"/>
        <w:jc w:val="both"/>
        <w:rPr>
          <w:rFonts w:ascii="Times New Roman" w:hAnsi="Times New Roman"/>
          <w:i/>
          <w:iCs/>
          <w:sz w:val="20"/>
          <w:lang w:eastAsia="bg-BG"/>
        </w:rPr>
      </w:pPr>
      <w:r w:rsidRPr="009A3510">
        <w:rPr>
          <w:rFonts w:ascii="Times New Roman" w:hAnsi="Times New Roman"/>
          <w:b/>
          <w:bCs/>
          <w:i/>
          <w:iCs/>
          <w:sz w:val="20"/>
          <w:lang w:eastAsia="bg-BG"/>
        </w:rPr>
        <w:t xml:space="preserve">Забележка: </w:t>
      </w:r>
      <w:r w:rsidRPr="009A3510">
        <w:rPr>
          <w:rFonts w:ascii="Times New Roman" w:hAnsi="Times New Roman"/>
          <w:i/>
          <w:iCs/>
          <w:sz w:val="20"/>
          <w:lang w:eastAsia="bg-BG"/>
        </w:rPr>
        <w:t>Стойността на точките по Показател 2 „Техническа оценка” се изчислява до втория знак след десетичната запетая.</w:t>
      </w:r>
    </w:p>
    <w:p w:rsidR="00905D27" w:rsidRDefault="00905D27" w:rsidP="00F86323">
      <w:pPr>
        <w:pStyle w:val="BodyText7"/>
        <w:shd w:val="clear" w:color="auto" w:fill="auto"/>
        <w:spacing w:line="284" w:lineRule="exact"/>
        <w:ind w:left="120" w:right="80" w:firstLine="0"/>
      </w:pPr>
    </w:p>
    <w:p w:rsidR="00F86323" w:rsidRPr="006339D4" w:rsidRDefault="00F86323" w:rsidP="00D17595">
      <w:pPr>
        <w:pStyle w:val="BodyText7"/>
        <w:shd w:val="clear" w:color="auto" w:fill="auto"/>
        <w:spacing w:line="284" w:lineRule="exact"/>
        <w:ind w:left="120" w:right="80" w:firstLine="0"/>
        <w:jc w:val="both"/>
        <w:rPr>
          <w:lang w:val="en-US"/>
        </w:rPr>
      </w:pPr>
      <w:r>
        <w:t>Всеки един от подпоказателите на техническата оценка се формира по следния начин и при следните условия</w:t>
      </w:r>
      <w:r w:rsidR="006339D4">
        <w:rPr>
          <w:lang w:val="en-US"/>
        </w:rPr>
        <w:t>:</w:t>
      </w:r>
    </w:p>
    <w:p w:rsidR="006339D4" w:rsidRDefault="006339D4" w:rsidP="00F86323">
      <w:pPr>
        <w:ind w:left="120" w:right="80"/>
        <w:rPr>
          <w:rStyle w:val="Bodytext18"/>
          <w:b/>
        </w:rPr>
      </w:pPr>
    </w:p>
    <w:p w:rsidR="00897FAC" w:rsidRDefault="00F86323" w:rsidP="00F86323">
      <w:pPr>
        <w:ind w:left="120" w:right="80"/>
      </w:pPr>
      <w:r w:rsidRPr="00897FAC">
        <w:rPr>
          <w:rStyle w:val="Bodytext18"/>
          <w:b/>
        </w:rPr>
        <w:t>П</w:t>
      </w:r>
      <w:r w:rsidR="00B461E8">
        <w:rPr>
          <w:rStyle w:val="Bodytext18"/>
          <w:b/>
        </w:rPr>
        <w:t>П</w:t>
      </w:r>
      <w:r w:rsidRPr="00897FAC">
        <w:rPr>
          <w:rStyle w:val="Bodytext18"/>
          <w:b/>
        </w:rPr>
        <w:t>1 - Срок на изпъл</w:t>
      </w:r>
      <w:r w:rsidR="003D36B5">
        <w:rPr>
          <w:rStyle w:val="Bodytext18"/>
          <w:b/>
        </w:rPr>
        <w:t>нение на поръчката - максимум 25</w:t>
      </w:r>
      <w:r w:rsidRPr="00897FAC">
        <w:rPr>
          <w:rStyle w:val="Bodytext18"/>
          <w:b/>
        </w:rPr>
        <w:t xml:space="preserve"> точки; </w:t>
      </w:r>
    </w:p>
    <w:p w:rsidR="00897FAC" w:rsidRDefault="00897FAC" w:rsidP="00F86323">
      <w:pPr>
        <w:ind w:left="120" w:right="80"/>
      </w:pPr>
    </w:p>
    <w:p w:rsidR="00F86323" w:rsidRPr="00357B5D" w:rsidRDefault="00F86323" w:rsidP="00F86323">
      <w:pPr>
        <w:ind w:left="120" w:right="80"/>
        <w:rPr>
          <w:rFonts w:ascii="Times New Roman" w:hAnsi="Times New Roman"/>
          <w:b/>
        </w:rPr>
      </w:pPr>
      <w:r w:rsidRPr="00357B5D">
        <w:rPr>
          <w:rFonts w:ascii="Times New Roman" w:hAnsi="Times New Roman"/>
          <w:b/>
        </w:rPr>
        <w:t>П</w:t>
      </w:r>
      <w:r w:rsidR="00357B5D" w:rsidRPr="00357B5D">
        <w:rPr>
          <w:rFonts w:ascii="Times New Roman" w:hAnsi="Times New Roman"/>
          <w:b/>
        </w:rPr>
        <w:t>П</w:t>
      </w:r>
      <w:r w:rsidRPr="00357B5D">
        <w:rPr>
          <w:rFonts w:ascii="Times New Roman" w:hAnsi="Times New Roman"/>
          <w:b/>
        </w:rPr>
        <w:t xml:space="preserve">1 = </w:t>
      </w:r>
      <w:r w:rsidRPr="00357B5D">
        <w:rPr>
          <w:rFonts w:ascii="Times New Roman" w:hAnsi="Times New Roman"/>
          <w:b/>
          <w:lang w:val="en-US"/>
        </w:rPr>
        <w:t>(</w:t>
      </w:r>
      <w:proofErr w:type="spellStart"/>
      <w:r w:rsidRPr="00357B5D">
        <w:rPr>
          <w:rFonts w:ascii="Times New Roman" w:hAnsi="Times New Roman"/>
          <w:b/>
          <w:lang w:val="en-US"/>
        </w:rPr>
        <w:t>Cmin</w:t>
      </w:r>
      <w:proofErr w:type="spellEnd"/>
      <w:r w:rsidRPr="00357B5D">
        <w:rPr>
          <w:rFonts w:ascii="Times New Roman" w:hAnsi="Times New Roman"/>
          <w:b/>
          <w:lang w:val="en-US"/>
        </w:rPr>
        <w:t xml:space="preserve"> </w:t>
      </w:r>
      <w:r w:rsidRPr="00357B5D">
        <w:rPr>
          <w:rFonts w:ascii="Times New Roman" w:hAnsi="Times New Roman"/>
          <w:b/>
        </w:rPr>
        <w:t xml:space="preserve">/ </w:t>
      </w:r>
      <w:r w:rsidR="003205EC" w:rsidRPr="00357B5D">
        <w:rPr>
          <w:rFonts w:ascii="Times New Roman" w:hAnsi="Times New Roman"/>
          <w:b/>
          <w:lang w:val="en-US"/>
        </w:rPr>
        <w:t>Ci</w:t>
      </w:r>
      <w:r w:rsidRPr="00357B5D">
        <w:rPr>
          <w:rFonts w:ascii="Times New Roman" w:hAnsi="Times New Roman"/>
          <w:b/>
          <w:lang w:val="en-US"/>
        </w:rPr>
        <w:t xml:space="preserve">) </w:t>
      </w:r>
      <w:r w:rsidR="00355828">
        <w:rPr>
          <w:rFonts w:ascii="Times New Roman" w:hAnsi="Times New Roman"/>
          <w:b/>
        </w:rPr>
        <w:t>X 25</w:t>
      </w:r>
    </w:p>
    <w:p w:rsidR="003205EC" w:rsidRDefault="003205EC" w:rsidP="00E93584">
      <w:pPr>
        <w:pStyle w:val="BodyText7"/>
        <w:shd w:val="clear" w:color="auto" w:fill="auto"/>
        <w:ind w:left="120" w:firstLine="0"/>
        <w:jc w:val="both"/>
      </w:pPr>
    </w:p>
    <w:p w:rsidR="00F86323" w:rsidRDefault="00F86323" w:rsidP="00E93584">
      <w:pPr>
        <w:pStyle w:val="BodyText7"/>
        <w:shd w:val="clear" w:color="auto" w:fill="auto"/>
        <w:ind w:left="120" w:firstLine="0"/>
        <w:jc w:val="both"/>
      </w:pPr>
      <w:r>
        <w:t xml:space="preserve">Където </w:t>
      </w:r>
      <w:r w:rsidR="00897FAC">
        <w:t>С</w:t>
      </w:r>
      <w:proofErr w:type="spellStart"/>
      <w:r w:rsidR="003205EC">
        <w:rPr>
          <w:lang w:val="en-US"/>
        </w:rPr>
        <w:t>i</w:t>
      </w:r>
      <w:proofErr w:type="spellEnd"/>
      <w:r w:rsidR="00897FAC">
        <w:rPr>
          <w:lang w:val="en-US"/>
        </w:rPr>
        <w:t xml:space="preserve"> </w:t>
      </w:r>
      <w:r w:rsidR="00897FAC">
        <w:t xml:space="preserve">е </w:t>
      </w:r>
      <w:r>
        <w:t>срока в дни (календарни) съгласно Техническото предложение на съответния</w:t>
      </w:r>
      <w:r w:rsidR="00A324B0">
        <w:t xml:space="preserve"> </w:t>
      </w:r>
      <w:r>
        <w:t>участник за изпълнение на СМР включени за изпълнение в настоящата поръчка.</w:t>
      </w:r>
      <w:r w:rsidR="00E93584">
        <w:t xml:space="preserve"> </w:t>
      </w:r>
      <w:r w:rsidRPr="007C45AB">
        <w:t>Където</w:t>
      </w:r>
      <w:r w:rsidRPr="007C45AB">
        <w:rPr>
          <w:rStyle w:val="BodytextBold"/>
          <w:b w:val="0"/>
        </w:rPr>
        <w:t xml:space="preserve"> </w:t>
      </w:r>
      <w:proofErr w:type="spellStart"/>
      <w:r w:rsidRPr="007C45AB">
        <w:rPr>
          <w:rStyle w:val="BodytextBold"/>
          <w:b w:val="0"/>
          <w:lang w:val="en-US"/>
        </w:rPr>
        <w:t>C</w:t>
      </w:r>
      <w:r w:rsidR="00897FAC" w:rsidRPr="007C45AB">
        <w:rPr>
          <w:rStyle w:val="BodytextBold"/>
          <w:b w:val="0"/>
          <w:lang w:val="en-US"/>
        </w:rPr>
        <w:t>min</w:t>
      </w:r>
      <w:proofErr w:type="spellEnd"/>
      <w:r w:rsidR="00897FAC">
        <w:rPr>
          <w:rStyle w:val="BodytextBold"/>
          <w:lang w:val="en-US"/>
        </w:rPr>
        <w:t xml:space="preserve"> </w:t>
      </w:r>
      <w:r w:rsidR="00897FAC" w:rsidRPr="00897FAC">
        <w:rPr>
          <w:rStyle w:val="BodytextBold"/>
        </w:rPr>
        <w:t xml:space="preserve">е </w:t>
      </w:r>
      <w:r w:rsidRPr="00897FAC">
        <w:t>минималния</w:t>
      </w:r>
      <w:r>
        <w:t xml:space="preserve"> срок от Техническото предложение на участника предложил на</w:t>
      </w:r>
      <w:r w:rsidR="00E93584">
        <w:t>й-</w:t>
      </w:r>
      <w:r>
        <w:t>кратък срок за изпълнение на СМР включени за изпълнение в настоящата поръчка.</w:t>
      </w:r>
      <w:r w:rsidR="00E93584">
        <w:t xml:space="preserve"> </w:t>
      </w:r>
      <w:r>
        <w:t>Срокът за изпълнение на строително-монтажните работи трябва да е реалистичен и</w:t>
      </w:r>
      <w:r w:rsidR="00E93584">
        <w:t xml:space="preserve"> </w:t>
      </w:r>
      <w:r>
        <w:t>съобразен със спецификата и обема на работата като качественото изпълнение на</w:t>
      </w:r>
      <w:r w:rsidR="00E93584">
        <w:t xml:space="preserve"> </w:t>
      </w:r>
      <w:r>
        <w:t>работите трябва да бъде гарантирано.</w:t>
      </w:r>
    </w:p>
    <w:p w:rsidR="004D5D80" w:rsidRDefault="004D5D80" w:rsidP="00E93584">
      <w:pPr>
        <w:pStyle w:val="BodyText7"/>
        <w:shd w:val="clear" w:color="auto" w:fill="auto"/>
        <w:ind w:left="120" w:firstLine="0"/>
        <w:jc w:val="both"/>
        <w:rPr>
          <w:b/>
        </w:rPr>
      </w:pPr>
    </w:p>
    <w:p w:rsidR="004F7299" w:rsidRDefault="004F7299" w:rsidP="00E93584">
      <w:pPr>
        <w:pStyle w:val="BodyText7"/>
        <w:shd w:val="clear" w:color="auto" w:fill="auto"/>
        <w:ind w:left="120" w:firstLine="0"/>
        <w:jc w:val="both"/>
      </w:pPr>
      <w:r>
        <w:rPr>
          <w:b/>
        </w:rPr>
        <w:t xml:space="preserve">Предложеният срок за изпълнение не може да бъде по-кратък от 90 </w:t>
      </w:r>
      <w:r w:rsidR="00404914">
        <w:rPr>
          <w:b/>
        </w:rPr>
        <w:t xml:space="preserve">календарни </w:t>
      </w:r>
      <w:r>
        <w:rPr>
          <w:b/>
        </w:rPr>
        <w:t xml:space="preserve">дни. Офертите </w:t>
      </w:r>
      <w:r w:rsidR="00404914">
        <w:rPr>
          <w:b/>
        </w:rPr>
        <w:t>на кандидатите предложили по-кратък</w:t>
      </w:r>
      <w:r>
        <w:rPr>
          <w:b/>
        </w:rPr>
        <w:t xml:space="preserve"> срок за изпълнение ще бъдат отстранявани.</w:t>
      </w:r>
    </w:p>
    <w:p w:rsidR="00A324B0" w:rsidRDefault="00A324B0" w:rsidP="00A324B0">
      <w:pPr>
        <w:spacing w:line="277" w:lineRule="exact"/>
        <w:ind w:left="120" w:right="80"/>
        <w:rPr>
          <w:rFonts w:ascii="Times New Roman" w:hAnsi="Times New Roman"/>
          <w:highlight w:val="yellow"/>
        </w:rPr>
      </w:pPr>
    </w:p>
    <w:p w:rsidR="006339D4" w:rsidRDefault="006339D4" w:rsidP="00F86323">
      <w:pPr>
        <w:spacing w:line="277" w:lineRule="exact"/>
        <w:ind w:left="120" w:right="80" w:firstLine="360"/>
        <w:rPr>
          <w:rStyle w:val="Bodytext6"/>
          <w:b/>
        </w:rPr>
      </w:pPr>
    </w:p>
    <w:p w:rsidR="00F86323" w:rsidRPr="0035415A" w:rsidRDefault="00D2771D" w:rsidP="00556A46">
      <w:pPr>
        <w:spacing w:line="277" w:lineRule="exact"/>
        <w:ind w:right="80"/>
        <w:rPr>
          <w:b/>
        </w:rPr>
      </w:pPr>
      <w:r w:rsidRPr="00D2771D">
        <w:rPr>
          <w:rStyle w:val="Bodytext6"/>
          <w:b/>
          <w:u w:val="none"/>
        </w:rPr>
        <w:t xml:space="preserve">  </w:t>
      </w:r>
      <w:r w:rsidR="00F86323" w:rsidRPr="0035415A">
        <w:rPr>
          <w:rStyle w:val="Bodytext6"/>
          <w:b/>
        </w:rPr>
        <w:t>П</w:t>
      </w:r>
      <w:r w:rsidR="006F1D5C">
        <w:rPr>
          <w:rStyle w:val="Bodytext6"/>
          <w:b/>
        </w:rPr>
        <w:t>П</w:t>
      </w:r>
      <w:r w:rsidR="00F86323" w:rsidRPr="0035415A">
        <w:rPr>
          <w:rStyle w:val="Bodytext6"/>
          <w:b/>
        </w:rPr>
        <w:t xml:space="preserve">2 - Организация и изпълнение на </w:t>
      </w:r>
      <w:r w:rsidR="00C06592">
        <w:rPr>
          <w:rStyle w:val="Bodytext6"/>
          <w:b/>
        </w:rPr>
        <w:t>публичната покана</w:t>
      </w:r>
      <w:r w:rsidR="000D2A56">
        <w:rPr>
          <w:rStyle w:val="Bodytext6"/>
          <w:b/>
        </w:rPr>
        <w:t xml:space="preserve"> - максимум </w:t>
      </w:r>
      <w:r w:rsidR="00FA1F30">
        <w:rPr>
          <w:rStyle w:val="Bodytext6"/>
          <w:b/>
        </w:rPr>
        <w:t>7</w:t>
      </w:r>
      <w:r w:rsidR="00F86323" w:rsidRPr="0035415A">
        <w:rPr>
          <w:rStyle w:val="Bodytext6"/>
          <w:b/>
        </w:rPr>
        <w:t>5 точки</w:t>
      </w:r>
    </w:p>
    <w:p w:rsidR="00556A46" w:rsidRDefault="00556A46" w:rsidP="00F86323">
      <w:pPr>
        <w:pStyle w:val="BodyText7"/>
        <w:shd w:val="clear" w:color="auto" w:fill="auto"/>
        <w:ind w:left="120" w:right="80" w:firstLine="360"/>
        <w:jc w:val="both"/>
      </w:pPr>
    </w:p>
    <w:p w:rsidR="00556A46" w:rsidRPr="00357B5D" w:rsidRDefault="00D2771D" w:rsidP="00556A46">
      <w:pPr>
        <w:ind w:right="80"/>
        <w:rPr>
          <w:rFonts w:ascii="Times New Roman" w:hAnsi="Times New Roman"/>
          <w:b/>
        </w:rPr>
      </w:pPr>
      <w:r>
        <w:rPr>
          <w:rFonts w:ascii="Times New Roman" w:hAnsi="Times New Roman"/>
          <w:b/>
        </w:rPr>
        <w:t xml:space="preserve">  </w:t>
      </w:r>
      <w:r w:rsidR="00556A46" w:rsidRPr="00357B5D">
        <w:rPr>
          <w:rFonts w:ascii="Times New Roman" w:hAnsi="Times New Roman"/>
          <w:b/>
        </w:rPr>
        <w:t>ПП</w:t>
      </w:r>
      <w:r w:rsidR="00556A46">
        <w:rPr>
          <w:rFonts w:ascii="Times New Roman" w:hAnsi="Times New Roman"/>
          <w:b/>
        </w:rPr>
        <w:t>2</w:t>
      </w:r>
      <w:r w:rsidR="00556A46" w:rsidRPr="00357B5D">
        <w:rPr>
          <w:rFonts w:ascii="Times New Roman" w:hAnsi="Times New Roman"/>
          <w:b/>
        </w:rPr>
        <w:t xml:space="preserve"> = </w:t>
      </w:r>
      <w:r w:rsidR="00556A46" w:rsidRPr="00556A46">
        <w:rPr>
          <w:rFonts w:ascii="Times New Roman" w:hAnsi="Times New Roman"/>
          <w:b/>
        </w:rPr>
        <w:t xml:space="preserve">Подпоказател </w:t>
      </w:r>
      <w:r w:rsidR="00556A46">
        <w:rPr>
          <w:rFonts w:ascii="Times New Roman" w:hAnsi="Times New Roman"/>
          <w:b/>
        </w:rPr>
        <w:t>А+</w:t>
      </w:r>
      <w:r w:rsidR="00556A46" w:rsidRPr="00556A46">
        <w:rPr>
          <w:rFonts w:ascii="Times New Roman" w:hAnsi="Times New Roman"/>
          <w:b/>
        </w:rPr>
        <w:t xml:space="preserve"> </w:t>
      </w:r>
      <w:r w:rsidR="00556A46">
        <w:rPr>
          <w:rFonts w:ascii="Times New Roman" w:hAnsi="Times New Roman"/>
          <w:b/>
        </w:rPr>
        <w:t>Подпоказател Б</w:t>
      </w:r>
      <w:r>
        <w:rPr>
          <w:rFonts w:ascii="Times New Roman" w:hAnsi="Times New Roman"/>
          <w:b/>
        </w:rPr>
        <w:t xml:space="preserve"> </w:t>
      </w:r>
      <w:r w:rsidR="00556A46">
        <w:rPr>
          <w:rFonts w:ascii="Times New Roman" w:hAnsi="Times New Roman"/>
          <w:b/>
        </w:rPr>
        <w:t>+</w:t>
      </w:r>
      <w:r w:rsidR="00556A46" w:rsidRPr="00556A46">
        <w:rPr>
          <w:rFonts w:ascii="Times New Roman" w:hAnsi="Times New Roman"/>
          <w:b/>
        </w:rPr>
        <w:t xml:space="preserve"> </w:t>
      </w:r>
      <w:r w:rsidR="00556A46" w:rsidRPr="000D72B3">
        <w:rPr>
          <w:rFonts w:ascii="Times New Roman" w:hAnsi="Times New Roman"/>
          <w:b/>
        </w:rPr>
        <w:t xml:space="preserve">Подпоказател </w:t>
      </w:r>
      <w:r w:rsidR="00556A46">
        <w:rPr>
          <w:rFonts w:ascii="Times New Roman" w:hAnsi="Times New Roman"/>
          <w:b/>
        </w:rPr>
        <w:t>В</w:t>
      </w:r>
    </w:p>
    <w:p w:rsidR="00556A46" w:rsidRDefault="00556A46" w:rsidP="00F86323">
      <w:pPr>
        <w:pStyle w:val="BodyText7"/>
        <w:shd w:val="clear" w:color="auto" w:fill="auto"/>
        <w:ind w:left="120" w:right="80" w:firstLine="360"/>
        <w:jc w:val="both"/>
      </w:pPr>
    </w:p>
    <w:p w:rsidR="00F86323" w:rsidRDefault="00F86323" w:rsidP="00F86323">
      <w:pPr>
        <w:pStyle w:val="BodyText7"/>
        <w:shd w:val="clear" w:color="auto" w:fill="auto"/>
        <w:ind w:left="120" w:right="80" w:firstLine="360"/>
        <w:jc w:val="both"/>
      </w:pPr>
      <w:r>
        <w:t>Преди да премине към оценка на предложенията на участниците по този показател комисията проверява дали същите отговарят на изискванията на възложителя и дали обезпечават качественото изпълнение на поръчката, отчитайки спецификите и, в оферирания срок. Описание на видовете СМР и тяхната последователност на изпълнение; Организация и подход на изпълнение и Линеен график с приложена диаграма на работната ръка.</w:t>
      </w:r>
    </w:p>
    <w:p w:rsidR="000657B3" w:rsidRDefault="000657B3" w:rsidP="00F86323">
      <w:pPr>
        <w:pStyle w:val="BodyText7"/>
        <w:shd w:val="clear" w:color="auto" w:fill="auto"/>
        <w:spacing w:after="245"/>
        <w:ind w:left="120" w:right="80" w:firstLine="360"/>
        <w:jc w:val="both"/>
      </w:pPr>
    </w:p>
    <w:p w:rsidR="00F86323" w:rsidRDefault="00F86323" w:rsidP="00F86323">
      <w:pPr>
        <w:pStyle w:val="BodyText7"/>
        <w:shd w:val="clear" w:color="auto" w:fill="auto"/>
        <w:spacing w:after="245"/>
        <w:ind w:left="120" w:right="80" w:firstLine="360"/>
        <w:jc w:val="both"/>
      </w:pPr>
      <w:r>
        <w:t xml:space="preserve">На този етап от участие се отстраняват офертите на участниците, които не отговарят на изискванията на възложителя и не обезпечават качественото и срочно изпълнение на обекта, видно от представената техническа оферта. Офертите на участниците, които отговарят на изисквания на възложителя се подлагат на сравнителен анализ, съпоставят се една с друга и се оценяват по следните </w:t>
      </w:r>
      <w:proofErr w:type="spellStart"/>
      <w:r>
        <w:t>подпоказатели</w:t>
      </w:r>
      <w:proofErr w:type="spellEnd"/>
      <w:r>
        <w:t>:</w:t>
      </w:r>
    </w:p>
    <w:p w:rsidR="000657B3" w:rsidRDefault="000657B3" w:rsidP="00F86323">
      <w:pPr>
        <w:pStyle w:val="BodyText7"/>
        <w:shd w:val="clear" w:color="auto" w:fill="auto"/>
        <w:spacing w:after="245"/>
        <w:ind w:left="120" w:right="80" w:firstLine="360"/>
        <w:jc w:val="both"/>
      </w:pPr>
    </w:p>
    <w:tbl>
      <w:tblPr>
        <w:tblW w:w="10055" w:type="dxa"/>
        <w:tblLayout w:type="fixed"/>
        <w:tblCellMar>
          <w:left w:w="10" w:type="dxa"/>
          <w:right w:w="10" w:type="dxa"/>
        </w:tblCellMar>
        <w:tblLook w:val="04A0" w:firstRow="1" w:lastRow="0" w:firstColumn="1" w:lastColumn="0" w:noHBand="0" w:noVBand="1"/>
      </w:tblPr>
      <w:tblGrid>
        <w:gridCol w:w="3175"/>
        <w:gridCol w:w="6880"/>
      </w:tblGrid>
      <w:tr w:rsidR="00F86323" w:rsidTr="00F86323">
        <w:trPr>
          <w:trHeight w:val="295"/>
        </w:trPr>
        <w:tc>
          <w:tcPr>
            <w:tcW w:w="3175" w:type="dxa"/>
            <w:tcBorders>
              <w:top w:val="single" w:sz="4" w:space="0" w:color="auto"/>
              <w:left w:val="single" w:sz="4" w:space="0" w:color="auto"/>
              <w:bottom w:val="single" w:sz="4" w:space="0" w:color="auto"/>
              <w:right w:val="single" w:sz="4" w:space="0" w:color="auto"/>
            </w:tcBorders>
            <w:shd w:val="clear" w:color="auto" w:fill="FFFFFF"/>
          </w:tcPr>
          <w:p w:rsidR="00F86323" w:rsidRPr="00F843D1" w:rsidRDefault="00F86323" w:rsidP="00F86323">
            <w:pPr>
              <w:ind w:left="840"/>
              <w:rPr>
                <w:rFonts w:ascii="Times New Roman" w:hAnsi="Times New Roman"/>
                <w:b/>
              </w:rPr>
            </w:pPr>
            <w:r w:rsidRPr="00F843D1">
              <w:rPr>
                <w:rFonts w:ascii="Times New Roman" w:hAnsi="Times New Roman"/>
                <w:b/>
              </w:rPr>
              <w:t>Подпоказател</w:t>
            </w:r>
          </w:p>
        </w:tc>
        <w:tc>
          <w:tcPr>
            <w:tcW w:w="6880" w:type="dxa"/>
            <w:tcBorders>
              <w:top w:val="single" w:sz="4" w:space="0" w:color="auto"/>
              <w:left w:val="single" w:sz="4" w:space="0" w:color="auto"/>
              <w:bottom w:val="single" w:sz="4" w:space="0" w:color="auto"/>
              <w:right w:val="single" w:sz="4" w:space="0" w:color="auto"/>
            </w:tcBorders>
            <w:shd w:val="clear" w:color="auto" w:fill="FFFFFF"/>
          </w:tcPr>
          <w:p w:rsidR="00F86323" w:rsidRPr="00F843D1" w:rsidRDefault="00F86323" w:rsidP="00F86323">
            <w:pPr>
              <w:ind w:left="2840"/>
              <w:rPr>
                <w:rFonts w:ascii="Times New Roman" w:hAnsi="Times New Roman"/>
                <w:b/>
              </w:rPr>
            </w:pPr>
            <w:r w:rsidRPr="00F843D1">
              <w:rPr>
                <w:rFonts w:ascii="Times New Roman" w:hAnsi="Times New Roman"/>
                <w:b/>
              </w:rPr>
              <w:t>Оценяване</w:t>
            </w:r>
          </w:p>
        </w:tc>
      </w:tr>
      <w:tr w:rsidR="00F86323" w:rsidTr="00F86323">
        <w:trPr>
          <w:trHeight w:val="295"/>
        </w:trPr>
        <w:tc>
          <w:tcPr>
            <w:tcW w:w="3175" w:type="dxa"/>
            <w:tcBorders>
              <w:top w:val="single" w:sz="4" w:space="0" w:color="auto"/>
              <w:left w:val="single" w:sz="4" w:space="0" w:color="auto"/>
              <w:bottom w:val="single" w:sz="4" w:space="0" w:color="auto"/>
              <w:right w:val="single" w:sz="4" w:space="0" w:color="auto"/>
            </w:tcBorders>
            <w:shd w:val="clear" w:color="auto" w:fill="FFFFFF"/>
          </w:tcPr>
          <w:p w:rsidR="00F86323" w:rsidRPr="000D72B3" w:rsidRDefault="00F86323" w:rsidP="00F843D1">
            <w:pPr>
              <w:ind w:left="127"/>
              <w:rPr>
                <w:rFonts w:ascii="Times New Roman" w:hAnsi="Times New Roman"/>
                <w:b/>
              </w:rPr>
            </w:pPr>
            <w:r w:rsidRPr="000D72B3">
              <w:rPr>
                <w:rFonts w:ascii="Times New Roman" w:hAnsi="Times New Roman"/>
                <w:b/>
              </w:rPr>
              <w:t>Подпоказател - А</w:t>
            </w:r>
            <w:r w:rsidR="0035415A" w:rsidRPr="000D72B3">
              <w:rPr>
                <w:b/>
              </w:rPr>
              <w:t xml:space="preserve"> </w:t>
            </w:r>
            <w:r w:rsidR="0035415A" w:rsidRPr="000D72B3">
              <w:rPr>
                <w:rFonts w:ascii="Times New Roman" w:hAnsi="Times New Roman"/>
                <w:b/>
              </w:rPr>
              <w:t xml:space="preserve">Етапи на работа, подход и организацията на строителната площадка - максимален брой точки – </w:t>
            </w:r>
            <w:r w:rsidR="00A324B0">
              <w:rPr>
                <w:rFonts w:ascii="Times New Roman" w:hAnsi="Times New Roman"/>
                <w:b/>
              </w:rPr>
              <w:t>2</w:t>
            </w:r>
            <w:r w:rsidR="0035415A" w:rsidRPr="000D72B3">
              <w:rPr>
                <w:rFonts w:ascii="Times New Roman" w:hAnsi="Times New Roman"/>
                <w:b/>
              </w:rPr>
              <w:t>5 т.</w:t>
            </w:r>
          </w:p>
        </w:tc>
        <w:tc>
          <w:tcPr>
            <w:tcW w:w="6880" w:type="dxa"/>
            <w:tcBorders>
              <w:top w:val="single" w:sz="4" w:space="0" w:color="auto"/>
              <w:left w:val="single" w:sz="4" w:space="0" w:color="auto"/>
              <w:bottom w:val="single" w:sz="4" w:space="0" w:color="auto"/>
              <w:right w:val="single" w:sz="4" w:space="0" w:color="auto"/>
            </w:tcBorders>
            <w:shd w:val="clear" w:color="auto" w:fill="FFFFFF"/>
          </w:tcPr>
          <w:p w:rsidR="00F86323" w:rsidRPr="00824CDB" w:rsidRDefault="00BA4539" w:rsidP="00B03810">
            <w:pPr>
              <w:ind w:left="71" w:right="127"/>
              <w:jc w:val="both"/>
              <w:rPr>
                <w:rFonts w:ascii="Times New Roman" w:hAnsi="Times New Roman"/>
                <w:b/>
              </w:rPr>
            </w:pPr>
            <w:r w:rsidRPr="00824CDB">
              <w:rPr>
                <w:rFonts w:ascii="Times New Roman" w:hAnsi="Times New Roman"/>
                <w:b/>
                <w:lang w:val="en-US"/>
              </w:rPr>
              <w:t>2</w:t>
            </w:r>
            <w:r w:rsidR="00F86323" w:rsidRPr="00824CDB">
              <w:rPr>
                <w:rFonts w:ascii="Times New Roman" w:hAnsi="Times New Roman"/>
                <w:b/>
              </w:rPr>
              <w:t>5</w:t>
            </w:r>
            <w:r w:rsidR="003B34A7" w:rsidRPr="00824CDB">
              <w:rPr>
                <w:rFonts w:ascii="Times New Roman" w:hAnsi="Times New Roman"/>
                <w:b/>
                <w:lang w:val="en-US"/>
              </w:rPr>
              <w:t xml:space="preserve"> </w:t>
            </w:r>
            <w:r w:rsidR="00F86323" w:rsidRPr="00824CDB">
              <w:rPr>
                <w:rFonts w:ascii="Times New Roman" w:hAnsi="Times New Roman"/>
                <w:b/>
              </w:rPr>
              <w:t>т - получава офертата за която :</w:t>
            </w:r>
          </w:p>
          <w:p w:rsidR="00F86323" w:rsidRPr="0035415A" w:rsidRDefault="0035415A" w:rsidP="00B03810">
            <w:pPr>
              <w:pStyle w:val="BodyText7"/>
              <w:numPr>
                <w:ilvl w:val="0"/>
                <w:numId w:val="19"/>
              </w:numPr>
              <w:shd w:val="clear" w:color="auto" w:fill="auto"/>
              <w:tabs>
                <w:tab w:val="left" w:pos="489"/>
              </w:tabs>
              <w:spacing w:line="274" w:lineRule="exact"/>
              <w:ind w:left="71" w:right="127" w:hanging="340"/>
              <w:jc w:val="both"/>
              <w:rPr>
                <w:sz w:val="24"/>
                <w:szCs w:val="20"/>
                <w:lang w:eastAsia="en-US"/>
              </w:rPr>
            </w:pPr>
            <w:r>
              <w:rPr>
                <w:sz w:val="24"/>
                <w:szCs w:val="20"/>
                <w:lang w:eastAsia="en-US"/>
              </w:rPr>
              <w:t xml:space="preserve">- </w:t>
            </w:r>
            <w:r w:rsidR="00F86323" w:rsidRPr="0035415A">
              <w:rPr>
                <w:sz w:val="24"/>
                <w:szCs w:val="20"/>
                <w:lang w:eastAsia="en-US"/>
              </w:rPr>
              <w:t>предложените от участника подход и методи за работа на обекта</w:t>
            </w:r>
            <w:r w:rsidR="00F86323" w:rsidRPr="0035415A">
              <w:rPr>
                <w:rStyle w:val="BodytextBold"/>
                <w:b w:val="0"/>
                <w:bCs w:val="0"/>
                <w:sz w:val="24"/>
                <w:szCs w:val="20"/>
                <w:shd w:val="clear" w:color="auto" w:fill="auto"/>
                <w:lang w:eastAsia="en-US"/>
              </w:rPr>
              <w:t xml:space="preserve"> отчитат</w:t>
            </w:r>
            <w:r w:rsidR="00F86323" w:rsidRPr="0035415A">
              <w:rPr>
                <w:sz w:val="24"/>
                <w:szCs w:val="20"/>
                <w:lang w:eastAsia="en-US"/>
              </w:rPr>
              <w:t xml:space="preserve"> конкретиката и спецификата на обекта, обезпечават качественото изпълнение на обществената поръчка в целия и обхват;</w:t>
            </w:r>
          </w:p>
          <w:p w:rsidR="00F86323" w:rsidRPr="0035415A" w:rsidRDefault="0035415A" w:rsidP="00B03810">
            <w:pPr>
              <w:pStyle w:val="BodyText7"/>
              <w:numPr>
                <w:ilvl w:val="0"/>
                <w:numId w:val="19"/>
              </w:numPr>
              <w:shd w:val="clear" w:color="auto" w:fill="auto"/>
              <w:tabs>
                <w:tab w:val="left" w:pos="489"/>
              </w:tabs>
              <w:spacing w:line="274" w:lineRule="exact"/>
              <w:ind w:left="71" w:right="127" w:hanging="340"/>
              <w:jc w:val="both"/>
              <w:rPr>
                <w:sz w:val="24"/>
                <w:szCs w:val="20"/>
                <w:lang w:eastAsia="en-US"/>
              </w:rPr>
            </w:pPr>
            <w:r>
              <w:rPr>
                <w:sz w:val="24"/>
                <w:szCs w:val="20"/>
                <w:lang w:eastAsia="en-US"/>
              </w:rPr>
              <w:t xml:space="preserve">- </w:t>
            </w:r>
            <w:r w:rsidR="00F86323" w:rsidRPr="0035415A">
              <w:rPr>
                <w:sz w:val="24"/>
                <w:szCs w:val="20"/>
                <w:lang w:eastAsia="en-US"/>
              </w:rPr>
              <w:t>ясно са идентифицирани и описани</w:t>
            </w:r>
            <w:r w:rsidR="007C1349">
              <w:rPr>
                <w:sz w:val="24"/>
                <w:szCs w:val="20"/>
                <w:lang w:eastAsia="en-US"/>
              </w:rPr>
              <w:t xml:space="preserve"> </w:t>
            </w:r>
            <w:r w:rsidR="00F86323" w:rsidRPr="0035415A">
              <w:rPr>
                <w:sz w:val="24"/>
                <w:szCs w:val="20"/>
                <w:lang w:eastAsia="en-US"/>
              </w:rPr>
              <w:t>етапите</w:t>
            </w:r>
            <w:r w:rsidR="00F86323" w:rsidRPr="0035415A">
              <w:rPr>
                <w:rStyle w:val="BodytextBold"/>
                <w:b w:val="0"/>
                <w:bCs w:val="0"/>
                <w:sz w:val="24"/>
                <w:szCs w:val="20"/>
                <w:shd w:val="clear" w:color="auto" w:fill="auto"/>
                <w:lang w:eastAsia="en-US"/>
              </w:rPr>
              <w:t xml:space="preserve"> на изпълнение </w:t>
            </w:r>
            <w:r w:rsidR="00F86323" w:rsidRPr="0035415A">
              <w:rPr>
                <w:sz w:val="24"/>
                <w:szCs w:val="20"/>
                <w:lang w:eastAsia="en-US"/>
              </w:rPr>
              <w:t>и те съответстват на техническите спецификации и отчитат условията и особеностите на обекта и под обектите фазите на изпълнение и включенит</w:t>
            </w:r>
            <w:r w:rsidR="007C1349">
              <w:rPr>
                <w:sz w:val="24"/>
                <w:szCs w:val="20"/>
                <w:lang w:eastAsia="en-US"/>
              </w:rPr>
              <w:t>е за изпълнение СМР по всички дейности включени в обхвата на поръчката</w:t>
            </w:r>
            <w:r w:rsidR="00F86323" w:rsidRPr="0035415A">
              <w:rPr>
                <w:sz w:val="24"/>
                <w:szCs w:val="20"/>
                <w:lang w:eastAsia="en-US"/>
              </w:rPr>
              <w:t>.</w:t>
            </w:r>
          </w:p>
          <w:p w:rsidR="00F86323" w:rsidRDefault="00AC53F4" w:rsidP="00B03810">
            <w:pPr>
              <w:pStyle w:val="BodyText7"/>
              <w:numPr>
                <w:ilvl w:val="0"/>
                <w:numId w:val="19"/>
              </w:numPr>
              <w:shd w:val="clear" w:color="auto" w:fill="auto"/>
              <w:tabs>
                <w:tab w:val="left" w:pos="486"/>
              </w:tabs>
              <w:spacing w:line="274" w:lineRule="exact"/>
              <w:ind w:left="71" w:right="127" w:hanging="340"/>
              <w:jc w:val="both"/>
              <w:rPr>
                <w:sz w:val="24"/>
                <w:szCs w:val="20"/>
                <w:lang w:eastAsia="en-US"/>
              </w:rPr>
            </w:pPr>
            <w:r>
              <w:rPr>
                <w:sz w:val="24"/>
                <w:szCs w:val="20"/>
                <w:lang w:eastAsia="en-US"/>
              </w:rPr>
              <w:t xml:space="preserve">- </w:t>
            </w:r>
            <w:r w:rsidR="00F86323" w:rsidRPr="0035415A">
              <w:rPr>
                <w:sz w:val="24"/>
                <w:szCs w:val="20"/>
                <w:lang w:eastAsia="en-US"/>
              </w:rPr>
              <w:t>Представената от участника Организацията на строителната площадка, съответства на техническите спецификации и е съобразена с конкретиката и условията на обекта/под</w:t>
            </w:r>
            <w:r w:rsidR="0035415A">
              <w:rPr>
                <w:sz w:val="24"/>
                <w:szCs w:val="20"/>
                <w:lang w:eastAsia="en-US"/>
              </w:rPr>
              <w:t>-</w:t>
            </w:r>
            <w:r w:rsidR="0035415A">
              <w:t xml:space="preserve"> </w:t>
            </w:r>
            <w:r w:rsidR="0035415A" w:rsidRPr="0035415A">
              <w:rPr>
                <w:sz w:val="24"/>
                <w:szCs w:val="20"/>
                <w:lang w:eastAsia="en-US"/>
              </w:rPr>
              <w:t>обектите, осигурява безопастана работа и почивка на строителните работници и местата за временно складиране на материали и механизация.</w:t>
            </w:r>
          </w:p>
          <w:p w:rsidR="0035415A" w:rsidRPr="00603117" w:rsidRDefault="00603117" w:rsidP="00B03810">
            <w:pPr>
              <w:pStyle w:val="BodyText7"/>
              <w:numPr>
                <w:ilvl w:val="0"/>
                <w:numId w:val="19"/>
              </w:numPr>
              <w:tabs>
                <w:tab w:val="left" w:pos="486"/>
              </w:tabs>
              <w:spacing w:line="274" w:lineRule="exact"/>
              <w:ind w:left="71" w:right="127"/>
              <w:jc w:val="both"/>
              <w:rPr>
                <w:b/>
                <w:sz w:val="24"/>
                <w:szCs w:val="20"/>
                <w:lang w:eastAsia="en-US"/>
              </w:rPr>
            </w:pPr>
            <w:r>
              <w:rPr>
                <w:sz w:val="24"/>
                <w:szCs w:val="20"/>
                <w:lang w:eastAsia="en-US"/>
              </w:rPr>
              <w:t xml:space="preserve"> </w:t>
            </w:r>
            <w:r w:rsidR="00BA4539">
              <w:rPr>
                <w:b/>
                <w:sz w:val="24"/>
                <w:szCs w:val="20"/>
                <w:lang w:val="en-US" w:eastAsia="en-US"/>
              </w:rPr>
              <w:t>15</w:t>
            </w:r>
            <w:r w:rsidR="00AC53F4" w:rsidRPr="00603117">
              <w:rPr>
                <w:b/>
                <w:sz w:val="24"/>
                <w:szCs w:val="20"/>
                <w:lang w:eastAsia="en-US"/>
              </w:rPr>
              <w:t xml:space="preserve"> </w:t>
            </w:r>
            <w:r w:rsidRPr="00603117">
              <w:rPr>
                <w:b/>
                <w:sz w:val="24"/>
                <w:szCs w:val="20"/>
                <w:lang w:eastAsia="en-US"/>
              </w:rPr>
              <w:t>т.</w:t>
            </w:r>
            <w:r w:rsidR="00AC53F4" w:rsidRPr="00603117">
              <w:rPr>
                <w:b/>
                <w:sz w:val="24"/>
                <w:szCs w:val="20"/>
                <w:lang w:eastAsia="en-US"/>
              </w:rPr>
              <w:t xml:space="preserve"> </w:t>
            </w:r>
            <w:r w:rsidR="0035415A" w:rsidRPr="00603117">
              <w:rPr>
                <w:b/>
                <w:sz w:val="24"/>
                <w:szCs w:val="20"/>
                <w:lang w:eastAsia="en-US"/>
              </w:rPr>
              <w:t>получава офертата за която е установено едно от</w:t>
            </w:r>
          </w:p>
          <w:p w:rsidR="0035415A" w:rsidRPr="00603117" w:rsidRDefault="0035415A" w:rsidP="00B03810">
            <w:pPr>
              <w:pStyle w:val="BodyText7"/>
              <w:numPr>
                <w:ilvl w:val="0"/>
                <w:numId w:val="19"/>
              </w:numPr>
              <w:tabs>
                <w:tab w:val="left" w:pos="486"/>
              </w:tabs>
              <w:spacing w:line="274" w:lineRule="exact"/>
              <w:ind w:left="71" w:right="127"/>
              <w:jc w:val="both"/>
              <w:rPr>
                <w:b/>
                <w:sz w:val="24"/>
                <w:szCs w:val="20"/>
                <w:lang w:eastAsia="en-US"/>
              </w:rPr>
            </w:pPr>
            <w:r w:rsidRPr="00603117">
              <w:rPr>
                <w:b/>
                <w:sz w:val="24"/>
                <w:szCs w:val="20"/>
                <w:lang w:eastAsia="en-US"/>
              </w:rPr>
              <w:t>следните обстоятелства:</w:t>
            </w:r>
          </w:p>
          <w:p w:rsidR="0035415A" w:rsidRPr="0035415A" w:rsidRDefault="00AC53F4" w:rsidP="00B03810">
            <w:pPr>
              <w:pStyle w:val="BodyText7"/>
              <w:numPr>
                <w:ilvl w:val="0"/>
                <w:numId w:val="19"/>
              </w:numPr>
              <w:tabs>
                <w:tab w:val="left" w:pos="486"/>
              </w:tabs>
              <w:spacing w:line="274" w:lineRule="exact"/>
              <w:ind w:left="71" w:right="127"/>
              <w:jc w:val="both"/>
              <w:rPr>
                <w:sz w:val="24"/>
                <w:szCs w:val="20"/>
                <w:lang w:eastAsia="en-US"/>
              </w:rPr>
            </w:pPr>
            <w:r>
              <w:rPr>
                <w:sz w:val="24"/>
                <w:szCs w:val="20"/>
                <w:lang w:eastAsia="en-US"/>
              </w:rPr>
              <w:t xml:space="preserve">- </w:t>
            </w:r>
            <w:r w:rsidR="0035415A" w:rsidRPr="0035415A">
              <w:rPr>
                <w:sz w:val="24"/>
                <w:szCs w:val="20"/>
                <w:lang w:eastAsia="en-US"/>
              </w:rPr>
              <w:t>Подхода и методите и за работа и/или етапите на изпълнение са принципно правилни, но не отчитат (не е показано/описано) условията и особеностите (спецификата) на обекта и подобектите или не са ясно описани всичк</w:t>
            </w:r>
            <w:r w:rsidR="00075007">
              <w:rPr>
                <w:sz w:val="24"/>
                <w:szCs w:val="20"/>
                <w:lang w:eastAsia="en-US"/>
              </w:rPr>
              <w:t>и части от обхвата на поръчката;</w:t>
            </w:r>
            <w:bookmarkStart w:id="0" w:name="_GoBack"/>
            <w:bookmarkEnd w:id="0"/>
          </w:p>
          <w:p w:rsidR="0035415A" w:rsidRPr="0035415A" w:rsidRDefault="00AC53F4" w:rsidP="00B03810">
            <w:pPr>
              <w:pStyle w:val="BodyText7"/>
              <w:numPr>
                <w:ilvl w:val="0"/>
                <w:numId w:val="19"/>
              </w:numPr>
              <w:tabs>
                <w:tab w:val="left" w:pos="486"/>
              </w:tabs>
              <w:spacing w:line="274" w:lineRule="exact"/>
              <w:ind w:left="71" w:right="127"/>
              <w:jc w:val="both"/>
              <w:rPr>
                <w:sz w:val="24"/>
                <w:szCs w:val="20"/>
                <w:lang w:eastAsia="en-US"/>
              </w:rPr>
            </w:pPr>
            <w:r>
              <w:rPr>
                <w:sz w:val="24"/>
                <w:szCs w:val="20"/>
                <w:lang w:eastAsia="en-US"/>
              </w:rPr>
              <w:t xml:space="preserve">- </w:t>
            </w:r>
            <w:r w:rsidR="0035415A" w:rsidRPr="0035415A">
              <w:rPr>
                <w:sz w:val="24"/>
                <w:szCs w:val="20"/>
                <w:lang w:eastAsia="en-US"/>
              </w:rPr>
              <w:t>Организацията на строителната площадка е принципно правилна, но не отчита конкретиката и спецификата на обекта, използваните (предложени от участника) трудови и технически ресурси и не дава ясна представа за вида и местоположението на временните обекти и места за складиране на материали;</w:t>
            </w:r>
          </w:p>
          <w:p w:rsidR="0035415A" w:rsidRPr="00603117" w:rsidRDefault="00AC53F4" w:rsidP="00B03810">
            <w:pPr>
              <w:pStyle w:val="BodyText7"/>
              <w:numPr>
                <w:ilvl w:val="0"/>
                <w:numId w:val="19"/>
              </w:numPr>
              <w:tabs>
                <w:tab w:val="left" w:pos="486"/>
              </w:tabs>
              <w:spacing w:line="274" w:lineRule="exact"/>
              <w:ind w:left="71" w:right="127"/>
              <w:jc w:val="both"/>
              <w:rPr>
                <w:b/>
                <w:sz w:val="24"/>
                <w:szCs w:val="20"/>
                <w:lang w:eastAsia="en-US"/>
              </w:rPr>
            </w:pPr>
            <w:r w:rsidRPr="00603117">
              <w:rPr>
                <w:b/>
                <w:sz w:val="24"/>
                <w:szCs w:val="20"/>
                <w:lang w:eastAsia="en-US"/>
              </w:rPr>
              <w:t xml:space="preserve"> </w:t>
            </w:r>
            <w:r w:rsidR="00603117" w:rsidRPr="00603117">
              <w:rPr>
                <w:b/>
                <w:sz w:val="24"/>
                <w:szCs w:val="20"/>
                <w:lang w:eastAsia="en-US"/>
              </w:rPr>
              <w:t xml:space="preserve"> </w:t>
            </w:r>
            <w:r w:rsidR="00A324B0">
              <w:rPr>
                <w:b/>
                <w:sz w:val="24"/>
                <w:szCs w:val="20"/>
                <w:lang w:eastAsia="en-US"/>
              </w:rPr>
              <w:t>5</w:t>
            </w:r>
            <w:r w:rsidRPr="00603117">
              <w:rPr>
                <w:b/>
                <w:sz w:val="24"/>
                <w:szCs w:val="20"/>
                <w:lang w:eastAsia="en-US"/>
              </w:rPr>
              <w:t xml:space="preserve"> </w:t>
            </w:r>
            <w:r w:rsidR="0035415A" w:rsidRPr="00603117">
              <w:rPr>
                <w:b/>
                <w:sz w:val="24"/>
                <w:szCs w:val="20"/>
                <w:lang w:eastAsia="en-US"/>
              </w:rPr>
              <w:t>т</w:t>
            </w:r>
            <w:r w:rsidRPr="00603117">
              <w:rPr>
                <w:b/>
                <w:sz w:val="24"/>
                <w:szCs w:val="20"/>
                <w:lang w:eastAsia="en-US"/>
              </w:rPr>
              <w:t>.</w:t>
            </w:r>
            <w:r w:rsidR="0035415A" w:rsidRPr="00603117">
              <w:rPr>
                <w:b/>
                <w:sz w:val="24"/>
                <w:szCs w:val="20"/>
                <w:lang w:eastAsia="en-US"/>
              </w:rPr>
              <w:t xml:space="preserve"> - получава офертата, за която са установени /и двете</w:t>
            </w:r>
          </w:p>
          <w:p w:rsidR="0035415A" w:rsidRPr="00603117" w:rsidRDefault="0035415A" w:rsidP="00B03810">
            <w:pPr>
              <w:pStyle w:val="BodyText7"/>
              <w:numPr>
                <w:ilvl w:val="0"/>
                <w:numId w:val="19"/>
              </w:numPr>
              <w:tabs>
                <w:tab w:val="left" w:pos="486"/>
              </w:tabs>
              <w:spacing w:line="274" w:lineRule="exact"/>
              <w:ind w:left="71" w:right="127"/>
              <w:jc w:val="both"/>
              <w:rPr>
                <w:b/>
                <w:sz w:val="24"/>
                <w:szCs w:val="20"/>
                <w:lang w:eastAsia="en-US"/>
              </w:rPr>
            </w:pPr>
            <w:r w:rsidRPr="00603117">
              <w:rPr>
                <w:b/>
                <w:sz w:val="24"/>
                <w:szCs w:val="20"/>
                <w:lang w:eastAsia="en-US"/>
              </w:rPr>
              <w:t>обстоятелства/:</w:t>
            </w:r>
          </w:p>
          <w:p w:rsidR="0035415A" w:rsidRPr="0035415A" w:rsidRDefault="00AC53F4" w:rsidP="00B03810">
            <w:pPr>
              <w:pStyle w:val="BodyText7"/>
              <w:numPr>
                <w:ilvl w:val="0"/>
                <w:numId w:val="19"/>
              </w:numPr>
              <w:tabs>
                <w:tab w:val="left" w:pos="486"/>
              </w:tabs>
              <w:spacing w:line="274" w:lineRule="exact"/>
              <w:ind w:left="71" w:right="127"/>
              <w:jc w:val="both"/>
              <w:rPr>
                <w:sz w:val="24"/>
                <w:szCs w:val="20"/>
                <w:lang w:eastAsia="en-US"/>
              </w:rPr>
            </w:pPr>
            <w:r>
              <w:rPr>
                <w:sz w:val="24"/>
                <w:szCs w:val="20"/>
                <w:lang w:eastAsia="en-US"/>
              </w:rPr>
              <w:t xml:space="preserve">- </w:t>
            </w:r>
            <w:r w:rsidR="0035415A" w:rsidRPr="0035415A">
              <w:rPr>
                <w:sz w:val="24"/>
                <w:szCs w:val="20"/>
                <w:lang w:eastAsia="en-US"/>
              </w:rPr>
              <w:t>Подхода и методите й за работа и/или етапите на изпълнение са принципно правилни, но не отчитат (не е показано/описано) условията и особеностите (спецификата) на обекта и подобектите или не са ясно описани всички части от обхвата на поръчката (всички помещения, които са предвидени интервенции);</w:t>
            </w:r>
          </w:p>
          <w:p w:rsidR="0035415A" w:rsidRPr="0035415A" w:rsidRDefault="00AC53F4" w:rsidP="00B03810">
            <w:pPr>
              <w:pStyle w:val="BodyText7"/>
              <w:numPr>
                <w:ilvl w:val="0"/>
                <w:numId w:val="19"/>
              </w:numPr>
              <w:shd w:val="clear" w:color="auto" w:fill="auto"/>
              <w:tabs>
                <w:tab w:val="left" w:pos="486"/>
              </w:tabs>
              <w:spacing w:line="274" w:lineRule="exact"/>
              <w:ind w:left="71" w:right="127" w:hanging="340"/>
              <w:jc w:val="both"/>
              <w:rPr>
                <w:sz w:val="24"/>
                <w:szCs w:val="20"/>
                <w:lang w:eastAsia="en-US"/>
              </w:rPr>
            </w:pPr>
            <w:r>
              <w:rPr>
                <w:sz w:val="24"/>
                <w:szCs w:val="20"/>
                <w:lang w:eastAsia="en-US"/>
              </w:rPr>
              <w:t>-</w:t>
            </w:r>
            <w:r w:rsidR="0035415A" w:rsidRPr="0035415A">
              <w:rPr>
                <w:sz w:val="24"/>
                <w:szCs w:val="20"/>
                <w:lang w:eastAsia="en-US"/>
              </w:rPr>
              <w:t>Организацията на строителната/ните площадка/и е принципно правилна, но не отчита конкретиката и спецификата на обекта, използваните (предложени от участника) трудови и технически ресурси и не дава ясна представа за вида и местоположението на временните обекти и места за складиране на материали;</w:t>
            </w:r>
          </w:p>
        </w:tc>
      </w:tr>
      <w:tr w:rsidR="00AC53F4" w:rsidTr="00F86323">
        <w:trPr>
          <w:trHeight w:val="295"/>
        </w:trPr>
        <w:tc>
          <w:tcPr>
            <w:tcW w:w="3175" w:type="dxa"/>
            <w:tcBorders>
              <w:top w:val="single" w:sz="4" w:space="0" w:color="auto"/>
              <w:left w:val="single" w:sz="4" w:space="0" w:color="auto"/>
              <w:bottom w:val="single" w:sz="4" w:space="0" w:color="auto"/>
              <w:right w:val="single" w:sz="4" w:space="0" w:color="auto"/>
            </w:tcBorders>
            <w:shd w:val="clear" w:color="auto" w:fill="FFFFFF"/>
          </w:tcPr>
          <w:p w:rsidR="00AC53F4" w:rsidRPr="000D72B3" w:rsidRDefault="00AC53F4" w:rsidP="00F843D1">
            <w:pPr>
              <w:ind w:left="127"/>
              <w:rPr>
                <w:rFonts w:ascii="Times New Roman" w:hAnsi="Times New Roman"/>
                <w:b/>
              </w:rPr>
            </w:pPr>
            <w:r w:rsidRPr="000D72B3">
              <w:rPr>
                <w:rFonts w:ascii="Times New Roman" w:hAnsi="Times New Roman"/>
                <w:b/>
              </w:rPr>
              <w:t>Подпоказател –Б</w:t>
            </w:r>
            <w:r w:rsidR="00E01550" w:rsidRPr="000D72B3">
              <w:rPr>
                <w:rFonts w:ascii="Times New Roman" w:hAnsi="Times New Roman"/>
                <w:b/>
              </w:rPr>
              <w:t xml:space="preserve"> Организация на работа</w:t>
            </w:r>
          </w:p>
          <w:p w:rsidR="00AC53F4" w:rsidRPr="000D72B3" w:rsidRDefault="00AC53F4" w:rsidP="00F843D1">
            <w:pPr>
              <w:ind w:left="127"/>
              <w:rPr>
                <w:rFonts w:ascii="Times New Roman" w:hAnsi="Times New Roman"/>
                <w:b/>
              </w:rPr>
            </w:pPr>
            <w:r w:rsidRPr="000D72B3">
              <w:rPr>
                <w:rFonts w:ascii="Times New Roman" w:hAnsi="Times New Roman"/>
                <w:b/>
              </w:rPr>
              <w:t xml:space="preserve">максимален брой точки - </w:t>
            </w:r>
            <w:r w:rsidR="00FA1F30">
              <w:rPr>
                <w:rFonts w:ascii="Times New Roman" w:hAnsi="Times New Roman"/>
                <w:b/>
              </w:rPr>
              <w:t>2</w:t>
            </w:r>
            <w:r w:rsidRPr="000D72B3">
              <w:rPr>
                <w:rFonts w:ascii="Times New Roman" w:hAnsi="Times New Roman"/>
                <w:b/>
              </w:rPr>
              <w:t>5 точки</w:t>
            </w:r>
          </w:p>
        </w:tc>
        <w:tc>
          <w:tcPr>
            <w:tcW w:w="6880" w:type="dxa"/>
            <w:tcBorders>
              <w:top w:val="single" w:sz="4" w:space="0" w:color="auto"/>
              <w:left w:val="single" w:sz="4" w:space="0" w:color="auto"/>
              <w:bottom w:val="single" w:sz="4" w:space="0" w:color="auto"/>
              <w:right w:val="single" w:sz="4" w:space="0" w:color="auto"/>
            </w:tcBorders>
            <w:shd w:val="clear" w:color="auto" w:fill="FFFFFF"/>
          </w:tcPr>
          <w:p w:rsidR="00E01550" w:rsidRPr="00603117" w:rsidRDefault="00BA4539" w:rsidP="00B03810">
            <w:pPr>
              <w:ind w:left="71" w:right="127"/>
              <w:jc w:val="both"/>
              <w:rPr>
                <w:rFonts w:ascii="Times New Roman" w:hAnsi="Times New Roman"/>
                <w:b/>
              </w:rPr>
            </w:pPr>
            <w:r>
              <w:rPr>
                <w:rFonts w:ascii="Times New Roman" w:hAnsi="Times New Roman"/>
                <w:b/>
                <w:lang w:val="en-US"/>
              </w:rPr>
              <w:t>2</w:t>
            </w:r>
            <w:r w:rsidR="00E01550" w:rsidRPr="00603117">
              <w:rPr>
                <w:rFonts w:ascii="Times New Roman" w:hAnsi="Times New Roman"/>
                <w:b/>
              </w:rPr>
              <w:t>5 точки  получава офертата за която :</w:t>
            </w:r>
          </w:p>
          <w:p w:rsidR="00E01550" w:rsidRPr="00E01550" w:rsidRDefault="00E01550" w:rsidP="00B03810">
            <w:pPr>
              <w:ind w:left="71" w:right="127"/>
              <w:jc w:val="both"/>
              <w:rPr>
                <w:rFonts w:ascii="Times New Roman" w:hAnsi="Times New Roman"/>
              </w:rPr>
            </w:pPr>
            <w:r>
              <w:rPr>
                <w:rFonts w:ascii="Times New Roman" w:hAnsi="Times New Roman"/>
              </w:rPr>
              <w:t xml:space="preserve">- </w:t>
            </w:r>
            <w:r w:rsidRPr="00E01550">
              <w:rPr>
                <w:rFonts w:ascii="Times New Roman" w:hAnsi="Times New Roman"/>
              </w:rPr>
              <w:t xml:space="preserve">описани са звената за изпълнение на основните видове строителни дейности, техния брой, вид, състав, квалификационна и техническа обезпеченост. Предложените </w:t>
            </w:r>
            <w:r w:rsidRPr="00E01550">
              <w:rPr>
                <w:rFonts w:ascii="Times New Roman" w:hAnsi="Times New Roman"/>
              </w:rPr>
              <w:lastRenderedPageBreak/>
              <w:t>работни звена, като вид, състав, квалификационна и техническа обезпеченост са в съответствие с вида, обема и спецификата на строителните дейности и обезпечават качестве</w:t>
            </w:r>
            <w:r w:rsidR="009D1904">
              <w:rPr>
                <w:rFonts w:ascii="Times New Roman" w:hAnsi="Times New Roman"/>
              </w:rPr>
              <w:t xml:space="preserve">ното изпълнение на </w:t>
            </w:r>
            <w:r w:rsidRPr="00E01550">
              <w:rPr>
                <w:rFonts w:ascii="Times New Roman" w:hAnsi="Times New Roman"/>
              </w:rPr>
              <w:t>поръчка</w:t>
            </w:r>
            <w:r w:rsidR="009D1904">
              <w:rPr>
                <w:rFonts w:ascii="Times New Roman" w:hAnsi="Times New Roman"/>
              </w:rPr>
              <w:t>та</w:t>
            </w:r>
            <w:r w:rsidRPr="00E01550">
              <w:rPr>
                <w:rFonts w:ascii="Times New Roman" w:hAnsi="Times New Roman"/>
              </w:rPr>
              <w:t xml:space="preserve"> за всеки етап:</w:t>
            </w:r>
          </w:p>
          <w:p w:rsidR="00E01550" w:rsidRPr="00E01550" w:rsidRDefault="00E01550" w:rsidP="00B03810">
            <w:pPr>
              <w:ind w:left="71" w:right="127"/>
              <w:jc w:val="both"/>
              <w:rPr>
                <w:rFonts w:ascii="Times New Roman" w:hAnsi="Times New Roman"/>
              </w:rPr>
            </w:pPr>
            <w:r>
              <w:rPr>
                <w:rFonts w:ascii="Times New Roman" w:hAnsi="Times New Roman"/>
              </w:rPr>
              <w:t xml:space="preserve">- </w:t>
            </w:r>
            <w:r w:rsidRPr="00E01550">
              <w:rPr>
                <w:rFonts w:ascii="Times New Roman" w:hAnsi="Times New Roman"/>
              </w:rPr>
              <w:t>участника е описал конкретно персонала за изпълнението на поръчката и техническо оборудване, обосновал (описал) е тяхната наличност и разполагаемост .</w:t>
            </w:r>
          </w:p>
          <w:p w:rsidR="00E01550" w:rsidRPr="00E01550" w:rsidRDefault="00E01550" w:rsidP="00B03810">
            <w:pPr>
              <w:ind w:left="71" w:right="127"/>
              <w:jc w:val="both"/>
              <w:rPr>
                <w:rFonts w:ascii="Times New Roman" w:hAnsi="Times New Roman"/>
              </w:rPr>
            </w:pPr>
            <w:r w:rsidRPr="00E01550">
              <w:rPr>
                <w:rFonts w:ascii="Times New Roman" w:hAnsi="Times New Roman"/>
              </w:rPr>
              <w:t>- Представена е координация на работните звена, възможности за едновременна работа на отделните работни звена. Координацията на звената е в съответствие с вида, обема и спецификата на строителните дейности ипредложения от участника линеен план за изпълнение на поръчката и етапи на изпълнение. Ясно проследимо е съответствието на описаните в техническото предложение работни звена и тяхното представяне в линейния календарен план.</w:t>
            </w:r>
          </w:p>
          <w:p w:rsidR="00E01550" w:rsidRPr="00603117" w:rsidRDefault="00BA4539" w:rsidP="00B03810">
            <w:pPr>
              <w:ind w:left="71" w:right="127"/>
              <w:jc w:val="both"/>
              <w:rPr>
                <w:rFonts w:ascii="Times New Roman" w:hAnsi="Times New Roman"/>
                <w:b/>
              </w:rPr>
            </w:pPr>
            <w:r>
              <w:rPr>
                <w:rFonts w:ascii="Times New Roman" w:hAnsi="Times New Roman"/>
                <w:b/>
                <w:lang w:val="en-US"/>
              </w:rPr>
              <w:t xml:space="preserve">15 </w:t>
            </w:r>
            <w:r w:rsidR="00E01550" w:rsidRPr="00603117">
              <w:rPr>
                <w:rFonts w:ascii="Times New Roman" w:hAnsi="Times New Roman"/>
                <w:b/>
              </w:rPr>
              <w:t>т - получава офертата за която е установено едно от следните обстоятелства:</w:t>
            </w:r>
          </w:p>
          <w:p w:rsidR="00E01550" w:rsidRPr="00E01550" w:rsidRDefault="00E01550" w:rsidP="00B03810">
            <w:pPr>
              <w:ind w:left="71" w:right="127"/>
              <w:jc w:val="both"/>
              <w:rPr>
                <w:rFonts w:ascii="Times New Roman" w:hAnsi="Times New Roman"/>
              </w:rPr>
            </w:pPr>
            <w:r>
              <w:rPr>
                <w:rFonts w:ascii="Times New Roman" w:hAnsi="Times New Roman"/>
              </w:rPr>
              <w:t xml:space="preserve">- </w:t>
            </w:r>
            <w:r w:rsidRPr="00E01550">
              <w:rPr>
                <w:rFonts w:ascii="Times New Roman" w:hAnsi="Times New Roman"/>
              </w:rPr>
              <w:t>описани са звена за изпълнение на основните видове дейности, техния брой, вид, състав, квалификационна и техническа обезпеченост. Предложените работни звена като вид и брой са в съответствие с вида и обема на строителните дейности на обществената поръчка, но липсва конкретика за персонал за изпълнението на поръчката и/или техническо</w:t>
            </w:r>
            <w:r w:rsidR="00075007">
              <w:rPr>
                <w:rFonts w:ascii="Times New Roman" w:hAnsi="Times New Roman"/>
                <w:lang w:val="en-US"/>
              </w:rPr>
              <w:t xml:space="preserve"> </w:t>
            </w:r>
            <w:r w:rsidRPr="00E01550">
              <w:rPr>
                <w:rFonts w:ascii="Times New Roman" w:hAnsi="Times New Roman"/>
              </w:rPr>
              <w:t>оборудване или липсва ясна обосновака (описание) за тяхната наличност и разполагаемост .</w:t>
            </w:r>
          </w:p>
          <w:p w:rsidR="00E01550" w:rsidRPr="00E01550" w:rsidRDefault="00E01550" w:rsidP="00B03810">
            <w:pPr>
              <w:ind w:left="71" w:right="127"/>
              <w:jc w:val="both"/>
              <w:rPr>
                <w:rFonts w:ascii="Times New Roman" w:hAnsi="Times New Roman"/>
              </w:rPr>
            </w:pPr>
            <w:r>
              <w:rPr>
                <w:rFonts w:ascii="Times New Roman" w:hAnsi="Times New Roman"/>
              </w:rPr>
              <w:t xml:space="preserve">- </w:t>
            </w:r>
            <w:r w:rsidRPr="00E01550">
              <w:rPr>
                <w:rFonts w:ascii="Times New Roman" w:hAnsi="Times New Roman"/>
              </w:rPr>
              <w:t>Представена е координация на работните звена, възможности за едновременна работа на отделните работни звена. Координацията на звената е в съответствие с вида, обема и спецификата на строителните дейности, но са установени несъответствия (повече от едно) с предложения</w:t>
            </w:r>
            <w:r>
              <w:rPr>
                <w:rFonts w:ascii="Times New Roman" w:hAnsi="Times New Roman"/>
              </w:rPr>
              <w:t xml:space="preserve"> </w:t>
            </w:r>
            <w:r w:rsidRPr="00E01550">
              <w:rPr>
                <w:rFonts w:ascii="Times New Roman" w:hAnsi="Times New Roman"/>
              </w:rPr>
              <w:t>от участника линеен план за изпълнение на поръчката</w:t>
            </w:r>
          </w:p>
          <w:p w:rsidR="00E01550" w:rsidRPr="00603117" w:rsidRDefault="005E56DD" w:rsidP="00B03810">
            <w:pPr>
              <w:ind w:left="71" w:right="127"/>
              <w:jc w:val="both"/>
              <w:rPr>
                <w:rFonts w:ascii="Times New Roman" w:hAnsi="Times New Roman"/>
                <w:b/>
              </w:rPr>
            </w:pPr>
            <w:r>
              <w:rPr>
                <w:rFonts w:ascii="Times New Roman" w:hAnsi="Times New Roman"/>
                <w:b/>
              </w:rPr>
              <w:t xml:space="preserve">5 </w:t>
            </w:r>
            <w:r w:rsidR="00E01550" w:rsidRPr="00603117">
              <w:rPr>
                <w:rFonts w:ascii="Times New Roman" w:hAnsi="Times New Roman"/>
                <w:b/>
              </w:rPr>
              <w:t>т - получава офертата, за която е установено поне едно от следните:</w:t>
            </w:r>
          </w:p>
          <w:p w:rsidR="00E01550" w:rsidRPr="00E01550" w:rsidRDefault="00E01550" w:rsidP="00B03810">
            <w:pPr>
              <w:ind w:left="71" w:right="127"/>
              <w:jc w:val="both"/>
              <w:rPr>
                <w:rFonts w:ascii="Times New Roman" w:hAnsi="Times New Roman"/>
              </w:rPr>
            </w:pPr>
            <w:r>
              <w:rPr>
                <w:rFonts w:ascii="Times New Roman" w:hAnsi="Times New Roman"/>
              </w:rPr>
              <w:t xml:space="preserve">- </w:t>
            </w:r>
            <w:r w:rsidRPr="00E01550">
              <w:rPr>
                <w:rFonts w:ascii="Times New Roman" w:hAnsi="Times New Roman"/>
              </w:rPr>
              <w:t>описани са звена за изпълнение на основните видове дейности, техния брой, вид, но не е описан някой от компонентите - състав, квалификационна и/или техническа обезпеченост, в резултат на което не може да се установи предложения от участника персонал за изпълнението на поръчката и/или техническо оборудване съответстват ли на предложената от участника организация на работа.</w:t>
            </w:r>
          </w:p>
          <w:p w:rsidR="00E01550" w:rsidRPr="0035415A" w:rsidRDefault="00E01550" w:rsidP="00B03810">
            <w:pPr>
              <w:ind w:left="71" w:right="127"/>
              <w:jc w:val="both"/>
              <w:rPr>
                <w:rFonts w:ascii="Times New Roman" w:hAnsi="Times New Roman"/>
              </w:rPr>
            </w:pPr>
            <w:r>
              <w:rPr>
                <w:rFonts w:ascii="Times New Roman" w:hAnsi="Times New Roman"/>
              </w:rPr>
              <w:t xml:space="preserve">- </w:t>
            </w:r>
            <w:r w:rsidRPr="00E01550">
              <w:rPr>
                <w:rFonts w:ascii="Times New Roman" w:hAnsi="Times New Roman"/>
              </w:rPr>
              <w:t>Описанието на координация на работните звена има общ характер, принципно отговаря на вида на строителните дейности, но няма обвързаност с предложения от участника линеен план за изпълнение на поръчката.</w:t>
            </w:r>
          </w:p>
        </w:tc>
      </w:tr>
      <w:tr w:rsidR="00B720A3" w:rsidTr="00F86323">
        <w:trPr>
          <w:trHeight w:val="295"/>
        </w:trPr>
        <w:tc>
          <w:tcPr>
            <w:tcW w:w="3175" w:type="dxa"/>
            <w:tcBorders>
              <w:top w:val="single" w:sz="4" w:space="0" w:color="auto"/>
              <w:left w:val="single" w:sz="4" w:space="0" w:color="auto"/>
              <w:bottom w:val="single" w:sz="4" w:space="0" w:color="auto"/>
              <w:right w:val="single" w:sz="4" w:space="0" w:color="auto"/>
            </w:tcBorders>
            <w:shd w:val="clear" w:color="auto" w:fill="FFFFFF"/>
          </w:tcPr>
          <w:p w:rsidR="00B720A3" w:rsidRPr="00603117" w:rsidRDefault="00B720A3" w:rsidP="00FA1F30">
            <w:pPr>
              <w:ind w:left="411"/>
              <w:rPr>
                <w:rFonts w:ascii="Times New Roman" w:hAnsi="Times New Roman"/>
              </w:rPr>
            </w:pPr>
            <w:r w:rsidRPr="0025329D">
              <w:rPr>
                <w:rFonts w:ascii="Times New Roman" w:hAnsi="Times New Roman"/>
                <w:b/>
              </w:rPr>
              <w:lastRenderedPageBreak/>
              <w:t>Подпоказател - В</w:t>
            </w:r>
            <w:r w:rsidRPr="0025329D">
              <w:rPr>
                <w:b/>
              </w:rPr>
              <w:t xml:space="preserve"> </w:t>
            </w:r>
            <w:r w:rsidRPr="0025329D">
              <w:rPr>
                <w:rFonts w:ascii="Times New Roman" w:hAnsi="Times New Roman"/>
                <w:b/>
              </w:rPr>
              <w:t xml:space="preserve">Технологична </w:t>
            </w:r>
            <w:r w:rsidRPr="0025329D">
              <w:rPr>
                <w:rFonts w:ascii="Times New Roman" w:hAnsi="Times New Roman"/>
                <w:b/>
              </w:rPr>
              <w:lastRenderedPageBreak/>
              <w:t>последователност на</w:t>
            </w:r>
            <w:r w:rsidRPr="0025329D">
              <w:rPr>
                <w:b/>
              </w:rPr>
              <w:t xml:space="preserve"> </w:t>
            </w:r>
            <w:r w:rsidRPr="0025329D">
              <w:rPr>
                <w:rFonts w:ascii="Times New Roman" w:hAnsi="Times New Roman"/>
                <w:b/>
              </w:rPr>
              <w:t>строителните процеси максимален брой точки -</w:t>
            </w:r>
            <w:r w:rsidRPr="0025329D">
              <w:rPr>
                <w:rFonts w:ascii="Times New Roman" w:hAnsi="Times New Roman"/>
                <w:b/>
              </w:rPr>
              <w:tab/>
            </w:r>
            <w:r w:rsidR="00FA1F30">
              <w:rPr>
                <w:rFonts w:ascii="Times New Roman" w:hAnsi="Times New Roman"/>
                <w:b/>
              </w:rPr>
              <w:t>2</w:t>
            </w:r>
            <w:r w:rsidR="00A324B0">
              <w:rPr>
                <w:rFonts w:ascii="Times New Roman" w:hAnsi="Times New Roman"/>
                <w:b/>
              </w:rPr>
              <w:t>5 т</w:t>
            </w:r>
            <w:r w:rsidRPr="00603117">
              <w:rPr>
                <w:rFonts w:ascii="Times New Roman" w:hAnsi="Times New Roman"/>
                <w:b/>
              </w:rPr>
              <w:t>очки</w:t>
            </w:r>
          </w:p>
        </w:tc>
        <w:tc>
          <w:tcPr>
            <w:tcW w:w="6880" w:type="dxa"/>
            <w:tcBorders>
              <w:top w:val="single" w:sz="4" w:space="0" w:color="auto"/>
              <w:left w:val="single" w:sz="4" w:space="0" w:color="auto"/>
              <w:bottom w:val="single" w:sz="4" w:space="0" w:color="auto"/>
              <w:right w:val="single" w:sz="4" w:space="0" w:color="auto"/>
            </w:tcBorders>
            <w:shd w:val="clear" w:color="auto" w:fill="FFFFFF"/>
          </w:tcPr>
          <w:p w:rsidR="00B720A3" w:rsidRPr="00603117" w:rsidRDefault="00E06F58" w:rsidP="00B03810">
            <w:pPr>
              <w:ind w:left="71" w:right="127"/>
              <w:jc w:val="both"/>
              <w:rPr>
                <w:rFonts w:ascii="Times New Roman" w:hAnsi="Times New Roman"/>
                <w:b/>
              </w:rPr>
            </w:pPr>
            <w:r>
              <w:rPr>
                <w:rFonts w:ascii="Times New Roman" w:hAnsi="Times New Roman"/>
                <w:b/>
                <w:lang w:val="en-US"/>
              </w:rPr>
              <w:lastRenderedPageBreak/>
              <w:t>2</w:t>
            </w:r>
            <w:r w:rsidR="00603117" w:rsidRPr="00603117">
              <w:rPr>
                <w:rFonts w:ascii="Times New Roman" w:hAnsi="Times New Roman"/>
                <w:b/>
              </w:rPr>
              <w:t>5 т.</w:t>
            </w:r>
            <w:r w:rsidR="00B720A3" w:rsidRPr="00603117">
              <w:rPr>
                <w:rFonts w:ascii="Times New Roman" w:hAnsi="Times New Roman"/>
                <w:b/>
              </w:rPr>
              <w:t xml:space="preserve">  получава офертата за която :</w:t>
            </w:r>
          </w:p>
          <w:p w:rsidR="00B720A3" w:rsidRPr="00B720A3" w:rsidRDefault="00B720A3" w:rsidP="00B03810">
            <w:pPr>
              <w:ind w:left="71" w:right="127"/>
              <w:jc w:val="both"/>
              <w:rPr>
                <w:rFonts w:ascii="Times New Roman" w:hAnsi="Times New Roman"/>
              </w:rPr>
            </w:pPr>
            <w:r w:rsidRPr="00B720A3">
              <w:rPr>
                <w:rFonts w:ascii="Times New Roman" w:hAnsi="Times New Roman"/>
              </w:rPr>
              <w:lastRenderedPageBreak/>
              <w:t>-</w:t>
            </w:r>
            <w:r>
              <w:rPr>
                <w:rFonts w:ascii="Times New Roman" w:hAnsi="Times New Roman"/>
              </w:rPr>
              <w:t xml:space="preserve"> </w:t>
            </w:r>
            <w:r w:rsidRPr="00B720A3">
              <w:rPr>
                <w:rFonts w:ascii="Times New Roman" w:hAnsi="Times New Roman"/>
              </w:rPr>
              <w:t xml:space="preserve">технологичната последователност и сроковете за изпълнение на всички основни строителни дейности са </w:t>
            </w:r>
            <w:r w:rsidRPr="00241C60">
              <w:rPr>
                <w:rFonts w:ascii="Times New Roman" w:hAnsi="Times New Roman"/>
              </w:rPr>
              <w:t>подробно</w:t>
            </w:r>
            <w:r w:rsidRPr="00B720A3">
              <w:rPr>
                <w:rFonts w:ascii="Times New Roman" w:hAnsi="Times New Roman"/>
              </w:rPr>
              <w:t xml:space="preserve"> описани и представени (в линейния план) и покриват всички аспекти на извършваната дейност с отчитане на реалната производителност на предложената работната сила, технологично оборудване и механизация.</w:t>
            </w:r>
          </w:p>
          <w:p w:rsidR="00B720A3" w:rsidRPr="009F7F7B" w:rsidRDefault="00E06F58" w:rsidP="00B03810">
            <w:pPr>
              <w:ind w:left="71" w:right="127"/>
              <w:jc w:val="both"/>
              <w:rPr>
                <w:rFonts w:ascii="Times New Roman" w:hAnsi="Times New Roman"/>
                <w:b/>
              </w:rPr>
            </w:pPr>
            <w:r>
              <w:rPr>
                <w:rFonts w:ascii="Times New Roman" w:hAnsi="Times New Roman"/>
                <w:b/>
                <w:lang w:val="en-US"/>
              </w:rPr>
              <w:t xml:space="preserve">15 </w:t>
            </w:r>
            <w:r w:rsidR="00B720A3" w:rsidRPr="009F7F7B">
              <w:rPr>
                <w:rFonts w:ascii="Times New Roman" w:hAnsi="Times New Roman"/>
                <w:b/>
              </w:rPr>
              <w:t>т - получава офертата за която е установено следното:</w:t>
            </w:r>
          </w:p>
          <w:p w:rsidR="0025329D" w:rsidRPr="0025329D" w:rsidRDefault="00B720A3" w:rsidP="00B03810">
            <w:pPr>
              <w:ind w:left="71" w:right="127"/>
              <w:jc w:val="both"/>
              <w:rPr>
                <w:rFonts w:ascii="Times New Roman" w:hAnsi="Times New Roman"/>
              </w:rPr>
            </w:pPr>
            <w:r w:rsidRPr="00B720A3">
              <w:rPr>
                <w:rFonts w:ascii="Times New Roman" w:hAnsi="Times New Roman"/>
              </w:rPr>
              <w:t>-</w:t>
            </w:r>
            <w:r>
              <w:rPr>
                <w:rFonts w:ascii="Times New Roman" w:hAnsi="Times New Roman"/>
              </w:rPr>
              <w:t xml:space="preserve"> </w:t>
            </w:r>
            <w:r w:rsidRPr="00B720A3">
              <w:rPr>
                <w:rFonts w:ascii="Times New Roman" w:hAnsi="Times New Roman"/>
              </w:rPr>
              <w:t>технологичната последователност е спазена, сроковете за изпълнение на всички основни строителни дейности,</w:t>
            </w:r>
            <w:r w:rsidR="0025329D">
              <w:rPr>
                <w:rFonts w:ascii="Times New Roman" w:hAnsi="Times New Roman"/>
              </w:rPr>
              <w:t xml:space="preserve"> </w:t>
            </w:r>
            <w:r w:rsidR="0025329D" w:rsidRPr="0025329D">
              <w:rPr>
                <w:rFonts w:ascii="Times New Roman" w:hAnsi="Times New Roman"/>
              </w:rPr>
              <w:t>съответстват на техническите спецификации и условията на</w:t>
            </w:r>
          </w:p>
          <w:p w:rsidR="00B720A3" w:rsidRDefault="0025329D" w:rsidP="00B03810">
            <w:pPr>
              <w:ind w:left="71" w:right="127"/>
              <w:jc w:val="both"/>
              <w:rPr>
                <w:rFonts w:ascii="Times New Roman" w:hAnsi="Times New Roman"/>
              </w:rPr>
            </w:pPr>
            <w:r w:rsidRPr="0025329D">
              <w:rPr>
                <w:rFonts w:ascii="Times New Roman" w:hAnsi="Times New Roman"/>
              </w:rPr>
              <w:t>обекта, отчетена е реалната производителност на</w:t>
            </w:r>
            <w:r>
              <w:rPr>
                <w:rFonts w:ascii="Times New Roman" w:hAnsi="Times New Roman"/>
              </w:rPr>
              <w:t xml:space="preserve"> </w:t>
            </w:r>
            <w:r w:rsidRPr="0025329D">
              <w:rPr>
                <w:rFonts w:ascii="Times New Roman" w:hAnsi="Times New Roman"/>
              </w:rPr>
              <w:t>предложената работната сила, технологично оборудване и</w:t>
            </w:r>
            <w:r>
              <w:rPr>
                <w:rFonts w:ascii="Times New Roman" w:hAnsi="Times New Roman"/>
              </w:rPr>
              <w:t xml:space="preserve"> </w:t>
            </w:r>
            <w:r w:rsidRPr="0025329D">
              <w:rPr>
                <w:rFonts w:ascii="Times New Roman" w:hAnsi="Times New Roman"/>
              </w:rPr>
              <w:t>механизация, но са установени несъответствия (повече от едно) между описаните в техническото предложение процеси и/или етапи на изпълнение и/или представените в линейния план срокове.</w:t>
            </w:r>
          </w:p>
          <w:p w:rsidR="009F7F7B" w:rsidRPr="009F7F7B" w:rsidRDefault="005E56DD" w:rsidP="00B03810">
            <w:pPr>
              <w:ind w:left="71" w:right="127"/>
              <w:jc w:val="both"/>
              <w:rPr>
                <w:rFonts w:ascii="Times New Roman" w:hAnsi="Times New Roman"/>
                <w:b/>
              </w:rPr>
            </w:pPr>
            <w:r>
              <w:rPr>
                <w:rFonts w:ascii="Times New Roman" w:hAnsi="Times New Roman"/>
                <w:b/>
              </w:rPr>
              <w:t xml:space="preserve">5 </w:t>
            </w:r>
            <w:r w:rsidR="009F7F7B" w:rsidRPr="009F7F7B">
              <w:rPr>
                <w:rFonts w:ascii="Times New Roman" w:hAnsi="Times New Roman"/>
                <w:b/>
              </w:rPr>
              <w:t>т - получава офертата за която е установено поне едно от</w:t>
            </w:r>
          </w:p>
          <w:p w:rsidR="009F7F7B" w:rsidRPr="009F7F7B" w:rsidRDefault="009F7F7B" w:rsidP="00B03810">
            <w:pPr>
              <w:ind w:left="71" w:right="127"/>
              <w:jc w:val="both"/>
              <w:rPr>
                <w:rFonts w:ascii="Times New Roman" w:hAnsi="Times New Roman"/>
                <w:b/>
              </w:rPr>
            </w:pPr>
            <w:r w:rsidRPr="009F7F7B">
              <w:rPr>
                <w:rFonts w:ascii="Times New Roman" w:hAnsi="Times New Roman"/>
                <w:b/>
              </w:rPr>
              <w:t>следните:</w:t>
            </w:r>
          </w:p>
          <w:p w:rsidR="009F7F7B" w:rsidRPr="009F7F7B" w:rsidRDefault="009F7F7B" w:rsidP="00B03810">
            <w:pPr>
              <w:ind w:left="71" w:right="127"/>
              <w:jc w:val="both"/>
              <w:rPr>
                <w:rFonts w:ascii="Times New Roman" w:hAnsi="Times New Roman"/>
              </w:rPr>
            </w:pPr>
            <w:r>
              <w:rPr>
                <w:rFonts w:ascii="Times New Roman" w:hAnsi="Times New Roman"/>
              </w:rPr>
              <w:t xml:space="preserve">- </w:t>
            </w:r>
            <w:r w:rsidRPr="009F7F7B">
              <w:rPr>
                <w:rFonts w:ascii="Times New Roman" w:hAnsi="Times New Roman"/>
              </w:rPr>
              <w:t>технологичната последователност на дейностите е описана общо и не е възможно да се установят съответствия между описаните в техническото предложение процеси и представените в линейния план срокове</w:t>
            </w:r>
          </w:p>
          <w:p w:rsidR="009F7F7B" w:rsidRPr="00B720A3" w:rsidRDefault="009F7F7B" w:rsidP="00B03810">
            <w:pPr>
              <w:ind w:left="71" w:right="127"/>
              <w:jc w:val="both"/>
              <w:rPr>
                <w:rFonts w:ascii="Times New Roman" w:hAnsi="Times New Roman"/>
              </w:rPr>
            </w:pPr>
            <w:r>
              <w:rPr>
                <w:rFonts w:ascii="Times New Roman" w:hAnsi="Times New Roman"/>
              </w:rPr>
              <w:t xml:space="preserve">- </w:t>
            </w:r>
            <w:r w:rsidRPr="009F7F7B">
              <w:rPr>
                <w:rFonts w:ascii="Times New Roman" w:hAnsi="Times New Roman"/>
              </w:rPr>
              <w:t>Дейностите в линейния календарен план са окрупнени и не може да се установи съответствие с описаните в техническото предложение процеси и последователност на изпълнение.</w:t>
            </w:r>
          </w:p>
        </w:tc>
      </w:tr>
    </w:tbl>
    <w:p w:rsidR="00F86323" w:rsidRDefault="00F86323" w:rsidP="006E4984">
      <w:pPr>
        <w:autoSpaceDE w:val="0"/>
        <w:autoSpaceDN w:val="0"/>
        <w:adjustRightInd w:val="0"/>
        <w:spacing w:line="276" w:lineRule="auto"/>
        <w:rPr>
          <w:rFonts w:ascii="Times New Roman" w:hAnsi="Times New Roman"/>
          <w:b/>
          <w:bCs/>
          <w:sz w:val="22"/>
          <w:szCs w:val="22"/>
          <w:lang w:eastAsia="bg-BG"/>
        </w:rPr>
      </w:pPr>
    </w:p>
    <w:p w:rsidR="009158B3" w:rsidRPr="00CA764C" w:rsidRDefault="009158B3" w:rsidP="009158B3">
      <w:pPr>
        <w:autoSpaceDE w:val="0"/>
        <w:autoSpaceDN w:val="0"/>
        <w:adjustRightInd w:val="0"/>
        <w:spacing w:line="276" w:lineRule="auto"/>
        <w:rPr>
          <w:rFonts w:ascii="Times New Roman" w:hAnsi="Times New Roman"/>
          <w:b/>
          <w:bCs/>
          <w:sz w:val="22"/>
          <w:szCs w:val="22"/>
          <w:lang w:eastAsia="bg-BG"/>
        </w:rPr>
      </w:pPr>
      <w:r w:rsidRPr="00CA764C">
        <w:rPr>
          <w:rFonts w:ascii="Times New Roman" w:hAnsi="Times New Roman"/>
          <w:b/>
          <w:bCs/>
          <w:sz w:val="22"/>
          <w:szCs w:val="22"/>
          <w:lang w:eastAsia="bg-BG"/>
        </w:rPr>
        <w:t>За целите на прилагане на настоящата методика използваните определения следва да се тълкуват както следва:</w:t>
      </w:r>
    </w:p>
    <w:p w:rsidR="009158B3" w:rsidRDefault="009158B3" w:rsidP="009158B3">
      <w:pPr>
        <w:autoSpaceDE w:val="0"/>
        <w:autoSpaceDN w:val="0"/>
        <w:adjustRightInd w:val="0"/>
        <w:spacing w:line="276" w:lineRule="auto"/>
        <w:rPr>
          <w:rFonts w:ascii="Times New Roman" w:hAnsi="Times New Roman"/>
          <w:bCs/>
          <w:sz w:val="22"/>
          <w:szCs w:val="22"/>
          <w:lang w:eastAsia="bg-BG"/>
        </w:rPr>
      </w:pPr>
    </w:p>
    <w:p w:rsidR="009158B3" w:rsidRPr="00CA764C" w:rsidRDefault="009158B3" w:rsidP="009158B3">
      <w:pPr>
        <w:autoSpaceDE w:val="0"/>
        <w:autoSpaceDN w:val="0"/>
        <w:adjustRightInd w:val="0"/>
        <w:spacing w:line="276" w:lineRule="auto"/>
        <w:rPr>
          <w:rFonts w:ascii="Times New Roman" w:hAnsi="Times New Roman"/>
          <w:bCs/>
          <w:sz w:val="22"/>
          <w:szCs w:val="22"/>
          <w:lang w:eastAsia="bg-BG"/>
        </w:rPr>
      </w:pPr>
      <w:r w:rsidRPr="00E95EE9">
        <w:rPr>
          <w:rFonts w:ascii="Times New Roman" w:hAnsi="Times New Roman"/>
          <w:b/>
          <w:bCs/>
          <w:sz w:val="22"/>
          <w:szCs w:val="22"/>
          <w:lang w:eastAsia="bg-BG"/>
        </w:rPr>
        <w:t>„Ясно"</w:t>
      </w:r>
      <w:r w:rsidRPr="00CA764C">
        <w:rPr>
          <w:rFonts w:ascii="Times New Roman" w:hAnsi="Times New Roman"/>
          <w:bCs/>
          <w:sz w:val="22"/>
          <w:szCs w:val="22"/>
          <w:lang w:eastAsia="bg-BG"/>
        </w:rPr>
        <w:t xml:space="preserve"> следва да се разбира изброяване, което недвусмислено посочва конкретния етап и конкретния вид дейност по начин, по който същият да бъде индивидуализиран сред останалите предвидени етапи, съответно останалите предвидени видове дейности.</w:t>
      </w:r>
    </w:p>
    <w:p w:rsidR="009158B3" w:rsidRDefault="009158B3" w:rsidP="009158B3">
      <w:pPr>
        <w:autoSpaceDE w:val="0"/>
        <w:autoSpaceDN w:val="0"/>
        <w:adjustRightInd w:val="0"/>
        <w:spacing w:line="276" w:lineRule="auto"/>
        <w:rPr>
          <w:rFonts w:ascii="Times New Roman" w:hAnsi="Times New Roman"/>
          <w:b/>
          <w:bCs/>
          <w:sz w:val="22"/>
          <w:szCs w:val="22"/>
          <w:lang w:eastAsia="bg-BG"/>
        </w:rPr>
      </w:pPr>
    </w:p>
    <w:p w:rsidR="009158B3" w:rsidRPr="00CA764C" w:rsidRDefault="009158B3" w:rsidP="009158B3">
      <w:pPr>
        <w:autoSpaceDE w:val="0"/>
        <w:autoSpaceDN w:val="0"/>
        <w:adjustRightInd w:val="0"/>
        <w:spacing w:line="276" w:lineRule="auto"/>
        <w:rPr>
          <w:rFonts w:ascii="Times New Roman" w:hAnsi="Times New Roman"/>
          <w:bCs/>
          <w:sz w:val="22"/>
          <w:szCs w:val="22"/>
          <w:lang w:eastAsia="bg-BG"/>
        </w:rPr>
      </w:pPr>
      <w:r w:rsidRPr="00E95EE9">
        <w:rPr>
          <w:rFonts w:ascii="Times New Roman" w:hAnsi="Times New Roman"/>
          <w:b/>
          <w:bCs/>
          <w:sz w:val="22"/>
          <w:szCs w:val="22"/>
          <w:lang w:eastAsia="bg-BG"/>
        </w:rPr>
        <w:t>„Подробно"</w:t>
      </w:r>
      <w:r w:rsidRPr="00CA764C">
        <w:rPr>
          <w:rFonts w:ascii="Times New Roman" w:hAnsi="Times New Roman"/>
          <w:bCs/>
          <w:sz w:val="22"/>
          <w:szCs w:val="22"/>
          <w:lang w:eastAsia="bg-BG"/>
        </w:rPr>
        <w:t xml:space="preserve"> следва да се разбира описание, което освен, че съдържа отделни етапи, видове дейности и елементи, не се ограничава единствено до тяхното просто изброяване, а са добавени допълнителни поясняващи текстове, свързани с обясняване на същността на етапа</w:t>
      </w:r>
      <w:r w:rsidR="00CB31ED">
        <w:rPr>
          <w:rFonts w:ascii="Times New Roman" w:hAnsi="Times New Roman"/>
          <w:bCs/>
          <w:sz w:val="22"/>
          <w:szCs w:val="22"/>
          <w:lang w:eastAsia="bg-BG"/>
        </w:rPr>
        <w:t xml:space="preserve"> </w:t>
      </w:r>
      <w:r w:rsidRPr="00CA764C">
        <w:rPr>
          <w:rFonts w:ascii="Times New Roman" w:hAnsi="Times New Roman"/>
          <w:bCs/>
          <w:sz w:val="22"/>
          <w:szCs w:val="22"/>
          <w:lang w:eastAsia="bg-BG"/>
        </w:rPr>
        <w:t>/дейността/, елемента, последователността, технологията и/или други факти, имащи отношение към повишаване качеството на изпълнение на поръчката и надграждане над предвидените техническо задание и изисквания.</w:t>
      </w:r>
    </w:p>
    <w:p w:rsidR="0071539C" w:rsidRDefault="0071539C" w:rsidP="00CA764C">
      <w:pPr>
        <w:autoSpaceDE w:val="0"/>
        <w:autoSpaceDN w:val="0"/>
        <w:adjustRightInd w:val="0"/>
        <w:spacing w:line="276" w:lineRule="auto"/>
        <w:rPr>
          <w:rFonts w:ascii="Times New Roman" w:hAnsi="Times New Roman"/>
          <w:bCs/>
          <w:sz w:val="22"/>
          <w:szCs w:val="22"/>
          <w:lang w:eastAsia="bg-BG"/>
        </w:rPr>
      </w:pPr>
    </w:p>
    <w:p w:rsidR="00F86323" w:rsidRPr="0071539C" w:rsidRDefault="00CA764C" w:rsidP="00055429">
      <w:pPr>
        <w:autoSpaceDE w:val="0"/>
        <w:autoSpaceDN w:val="0"/>
        <w:adjustRightInd w:val="0"/>
        <w:spacing w:line="276" w:lineRule="auto"/>
        <w:jc w:val="both"/>
        <w:rPr>
          <w:rFonts w:ascii="Times New Roman" w:hAnsi="Times New Roman"/>
          <w:b/>
          <w:bCs/>
          <w:sz w:val="22"/>
          <w:szCs w:val="22"/>
          <w:lang w:eastAsia="bg-BG"/>
        </w:rPr>
      </w:pPr>
      <w:r w:rsidRPr="0071539C">
        <w:rPr>
          <w:rFonts w:ascii="Times New Roman" w:hAnsi="Times New Roman"/>
          <w:b/>
          <w:bCs/>
          <w:sz w:val="22"/>
          <w:szCs w:val="22"/>
          <w:lang w:eastAsia="bg-BG"/>
        </w:rPr>
        <w:t>Технически предложения, за които е установено несъответствие с изискванията на Възложителя и Техническите спецификации се отстраняват от участие в процедурата.</w:t>
      </w:r>
    </w:p>
    <w:p w:rsidR="00F86323" w:rsidRPr="0071539C" w:rsidRDefault="00F86323" w:rsidP="006E4984">
      <w:pPr>
        <w:autoSpaceDE w:val="0"/>
        <w:autoSpaceDN w:val="0"/>
        <w:adjustRightInd w:val="0"/>
        <w:spacing w:line="276" w:lineRule="auto"/>
        <w:rPr>
          <w:rFonts w:ascii="Times New Roman" w:hAnsi="Times New Roman"/>
          <w:b/>
          <w:bCs/>
          <w:sz w:val="22"/>
          <w:szCs w:val="22"/>
          <w:lang w:eastAsia="bg-BG"/>
        </w:rPr>
      </w:pPr>
    </w:p>
    <w:p w:rsidR="00F5108D" w:rsidRPr="009A3510" w:rsidRDefault="00F5108D" w:rsidP="00F5108D">
      <w:pPr>
        <w:autoSpaceDE w:val="0"/>
        <w:autoSpaceDN w:val="0"/>
        <w:adjustRightInd w:val="0"/>
        <w:spacing w:line="276" w:lineRule="auto"/>
        <w:jc w:val="both"/>
        <w:rPr>
          <w:rFonts w:ascii="Times New Roman" w:hAnsi="Times New Roman"/>
          <w:b/>
          <w:bCs/>
          <w:sz w:val="22"/>
          <w:szCs w:val="22"/>
          <w:lang w:eastAsia="bg-BG"/>
        </w:rPr>
      </w:pPr>
      <w:r w:rsidRPr="009A3510">
        <w:rPr>
          <w:rFonts w:ascii="Times New Roman" w:hAnsi="Times New Roman"/>
          <w:b/>
          <w:bCs/>
          <w:sz w:val="22"/>
          <w:szCs w:val="22"/>
          <w:lang w:eastAsia="bg-BG"/>
        </w:rPr>
        <w:t>МЕТОДИКА ЗА ОПРЕДЕЛЯНЕ НА КРАЙНА ОЦЕНКА НА ОФЕРТИТЕ И КЛАСИРАНЕ НА ОФЕРТИТЕ</w:t>
      </w:r>
    </w:p>
    <w:p w:rsidR="00F5108D" w:rsidRDefault="00F5108D" w:rsidP="00F5108D">
      <w:pPr>
        <w:autoSpaceDE w:val="0"/>
        <w:autoSpaceDN w:val="0"/>
        <w:adjustRightInd w:val="0"/>
        <w:spacing w:line="276" w:lineRule="auto"/>
        <w:jc w:val="both"/>
        <w:rPr>
          <w:rFonts w:ascii="Times New Roman" w:hAnsi="Times New Roman"/>
          <w:b/>
          <w:bCs/>
          <w:szCs w:val="24"/>
        </w:rPr>
      </w:pPr>
    </w:p>
    <w:p w:rsidR="00F5108D" w:rsidRPr="009A3510" w:rsidRDefault="00F5108D" w:rsidP="00F5108D">
      <w:pPr>
        <w:autoSpaceDE w:val="0"/>
        <w:autoSpaceDN w:val="0"/>
        <w:adjustRightInd w:val="0"/>
        <w:spacing w:line="276" w:lineRule="auto"/>
        <w:jc w:val="both"/>
        <w:rPr>
          <w:rFonts w:ascii="Times New Roman" w:hAnsi="Times New Roman"/>
          <w:sz w:val="22"/>
          <w:szCs w:val="22"/>
          <w:lang w:eastAsia="bg-BG"/>
        </w:rPr>
      </w:pPr>
      <w:r w:rsidRPr="009A3510">
        <w:rPr>
          <w:rFonts w:ascii="Times New Roman" w:hAnsi="Times New Roman"/>
          <w:b/>
          <w:bCs/>
          <w:szCs w:val="24"/>
        </w:rPr>
        <w:lastRenderedPageBreak/>
        <w:t>Оптимално съотношение качество - цена</w:t>
      </w:r>
      <w:r w:rsidRPr="009A3510">
        <w:rPr>
          <w:rFonts w:ascii="Times New Roman" w:hAnsi="Times New Roman"/>
          <w:b/>
          <w:bCs/>
          <w:color w:val="FF0000"/>
          <w:szCs w:val="24"/>
        </w:rPr>
        <w:t xml:space="preserve"> </w:t>
      </w:r>
      <w:r w:rsidRPr="009A3510">
        <w:rPr>
          <w:rFonts w:ascii="Times New Roman" w:hAnsi="Times New Roman"/>
          <w:sz w:val="22"/>
          <w:szCs w:val="22"/>
          <w:lang w:eastAsia="bg-BG"/>
        </w:rPr>
        <w:t>оферта за Възложителя е тази, получила най-висока комплексна оценка</w:t>
      </w:r>
      <w:r>
        <w:rPr>
          <w:rFonts w:ascii="Times New Roman" w:hAnsi="Times New Roman"/>
          <w:sz w:val="22"/>
          <w:szCs w:val="22"/>
          <w:lang w:eastAsia="bg-BG"/>
        </w:rPr>
        <w:t xml:space="preserve"> </w:t>
      </w:r>
      <w:r w:rsidRPr="009A3510">
        <w:rPr>
          <w:rFonts w:ascii="Times New Roman" w:hAnsi="Times New Roman"/>
          <w:sz w:val="22"/>
          <w:szCs w:val="22"/>
          <w:lang w:eastAsia="bg-BG"/>
        </w:rPr>
        <w:t>(КО) от максимално възможните точки като сума от индивидуалните оценки по отделните</w:t>
      </w:r>
      <w:r>
        <w:rPr>
          <w:rFonts w:ascii="Times New Roman" w:hAnsi="Times New Roman"/>
          <w:sz w:val="22"/>
          <w:szCs w:val="22"/>
          <w:lang w:eastAsia="bg-BG"/>
        </w:rPr>
        <w:t xml:space="preserve"> </w:t>
      </w:r>
      <w:r w:rsidRPr="009A3510">
        <w:rPr>
          <w:rFonts w:ascii="Times New Roman" w:hAnsi="Times New Roman"/>
          <w:sz w:val="22"/>
          <w:szCs w:val="22"/>
          <w:lang w:eastAsia="bg-BG"/>
        </w:rPr>
        <w:t>показатели, изчислена по формулата:</w:t>
      </w:r>
    </w:p>
    <w:p w:rsidR="00F5108D" w:rsidRDefault="00F5108D" w:rsidP="00F5108D">
      <w:pPr>
        <w:autoSpaceDE w:val="0"/>
        <w:autoSpaceDN w:val="0"/>
        <w:adjustRightInd w:val="0"/>
        <w:spacing w:line="276" w:lineRule="auto"/>
        <w:jc w:val="both"/>
        <w:rPr>
          <w:rFonts w:ascii="Times New Roman" w:hAnsi="Times New Roman"/>
          <w:b/>
          <w:bCs/>
          <w:sz w:val="22"/>
          <w:szCs w:val="22"/>
          <w:lang w:eastAsia="bg-BG"/>
        </w:rPr>
      </w:pPr>
    </w:p>
    <w:p w:rsidR="00F5108D" w:rsidRPr="009A3510" w:rsidRDefault="00F5108D" w:rsidP="00F5108D">
      <w:pPr>
        <w:autoSpaceDE w:val="0"/>
        <w:autoSpaceDN w:val="0"/>
        <w:adjustRightInd w:val="0"/>
        <w:spacing w:line="276" w:lineRule="auto"/>
        <w:jc w:val="both"/>
        <w:rPr>
          <w:rFonts w:ascii="Times New Roman" w:hAnsi="Times New Roman"/>
          <w:b/>
          <w:bCs/>
          <w:sz w:val="22"/>
          <w:szCs w:val="22"/>
          <w:lang w:eastAsia="bg-BG"/>
        </w:rPr>
      </w:pPr>
      <w:r w:rsidRPr="009A3510">
        <w:rPr>
          <w:rFonts w:ascii="Times New Roman" w:hAnsi="Times New Roman"/>
          <w:b/>
          <w:bCs/>
          <w:sz w:val="22"/>
          <w:szCs w:val="22"/>
          <w:lang w:eastAsia="bg-BG"/>
        </w:rPr>
        <w:t>КО = П 1 + П 2</w:t>
      </w:r>
    </w:p>
    <w:p w:rsidR="00F5108D" w:rsidRDefault="00F5108D" w:rsidP="00F5108D">
      <w:pPr>
        <w:autoSpaceDE w:val="0"/>
        <w:autoSpaceDN w:val="0"/>
        <w:adjustRightInd w:val="0"/>
        <w:spacing w:line="276" w:lineRule="auto"/>
        <w:jc w:val="both"/>
        <w:rPr>
          <w:rFonts w:ascii="Times New Roman" w:hAnsi="Times New Roman"/>
          <w:b/>
          <w:bCs/>
          <w:sz w:val="22"/>
          <w:szCs w:val="22"/>
          <w:lang w:eastAsia="bg-BG"/>
        </w:rPr>
      </w:pPr>
    </w:p>
    <w:p w:rsidR="00F5108D" w:rsidRPr="009A3510" w:rsidRDefault="00F5108D" w:rsidP="00F5108D">
      <w:pPr>
        <w:autoSpaceDE w:val="0"/>
        <w:autoSpaceDN w:val="0"/>
        <w:adjustRightInd w:val="0"/>
        <w:spacing w:line="276" w:lineRule="auto"/>
        <w:jc w:val="both"/>
        <w:rPr>
          <w:rFonts w:ascii="Times New Roman" w:hAnsi="Times New Roman"/>
          <w:b/>
          <w:bCs/>
          <w:sz w:val="22"/>
          <w:szCs w:val="22"/>
          <w:lang w:eastAsia="bg-BG"/>
        </w:rPr>
      </w:pPr>
      <w:r w:rsidRPr="009A3510">
        <w:rPr>
          <w:rFonts w:ascii="Times New Roman" w:hAnsi="Times New Roman"/>
          <w:b/>
          <w:bCs/>
          <w:sz w:val="22"/>
          <w:szCs w:val="22"/>
          <w:lang w:eastAsia="bg-BG"/>
        </w:rPr>
        <w:t>Офертата получила най-висока комплексна оценка, се класира на първо място.</w:t>
      </w:r>
    </w:p>
    <w:p w:rsidR="000657B3" w:rsidRDefault="000657B3" w:rsidP="000657B3">
      <w:pPr>
        <w:autoSpaceDE w:val="0"/>
        <w:autoSpaceDN w:val="0"/>
        <w:adjustRightInd w:val="0"/>
        <w:spacing w:line="276" w:lineRule="auto"/>
        <w:jc w:val="both"/>
        <w:rPr>
          <w:rFonts w:ascii="Times New Roman" w:hAnsi="Times New Roman"/>
          <w:b/>
          <w:bCs/>
          <w:i/>
          <w:iCs/>
          <w:sz w:val="20"/>
          <w:lang w:eastAsia="bg-BG"/>
        </w:rPr>
      </w:pPr>
    </w:p>
    <w:p w:rsidR="00147C09" w:rsidRPr="009A3510" w:rsidRDefault="00F5108D" w:rsidP="000657B3">
      <w:pPr>
        <w:autoSpaceDE w:val="0"/>
        <w:autoSpaceDN w:val="0"/>
        <w:adjustRightInd w:val="0"/>
        <w:spacing w:line="276" w:lineRule="auto"/>
        <w:jc w:val="both"/>
        <w:rPr>
          <w:rFonts w:ascii="Times New Roman" w:hAnsi="Times New Roman"/>
          <w:color w:val="FF0000"/>
          <w:sz w:val="20"/>
        </w:rPr>
      </w:pPr>
      <w:r w:rsidRPr="009A3510">
        <w:rPr>
          <w:rFonts w:ascii="Times New Roman" w:hAnsi="Times New Roman"/>
          <w:b/>
          <w:bCs/>
          <w:i/>
          <w:iCs/>
          <w:sz w:val="20"/>
          <w:lang w:eastAsia="bg-BG"/>
        </w:rPr>
        <w:t xml:space="preserve">Забележка: </w:t>
      </w:r>
      <w:r w:rsidRPr="009A3510">
        <w:rPr>
          <w:rFonts w:ascii="Times New Roman" w:hAnsi="Times New Roman"/>
          <w:i/>
          <w:iCs/>
          <w:sz w:val="20"/>
          <w:lang w:eastAsia="bg-BG"/>
        </w:rPr>
        <w:t>Класирането ще се извърши по стойности, изчислени до втория знак след десетичната запетая. Ако има равни оценки на отделни кандидати, ще се извърши повторна оценка, като всички стойности бъдат пресметнати отново до третия знак след десетичната запетая. Ако и тогава има равен резултат, ще бъде класирана офертата, подадена по-рано.</w:t>
      </w:r>
    </w:p>
    <w:sectPr w:rsidR="00147C09" w:rsidRPr="009A3510" w:rsidSect="007326AC">
      <w:headerReference w:type="even" r:id="rId8"/>
      <w:headerReference w:type="default" r:id="rId9"/>
      <w:footerReference w:type="even" r:id="rId10"/>
      <w:footerReference w:type="default" r:id="rId11"/>
      <w:headerReference w:type="first" r:id="rId12"/>
      <w:footerReference w:type="first" r:id="rId13"/>
      <w:pgSz w:w="11907" w:h="16840" w:code="9"/>
      <w:pgMar w:top="1710" w:right="1134" w:bottom="567" w:left="1134" w:header="301" w:footer="24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172" w:rsidRDefault="00F80172">
      <w:r>
        <w:separator/>
      </w:r>
    </w:p>
  </w:endnote>
  <w:endnote w:type="continuationSeparator" w:id="0">
    <w:p w:rsidR="00F80172" w:rsidRDefault="00F80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HebarU">
    <w:panose1 w:val="00000400000000000000"/>
    <w:charset w:val="00"/>
    <w:family w:val="auto"/>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00"/>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C09" w:rsidRDefault="00147C09" w:rsidP="00745D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7C09" w:rsidRDefault="00147C09" w:rsidP="009610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6AC" w:rsidRPr="002116CF" w:rsidRDefault="0094774A" w:rsidP="007326AC">
    <w:pPr>
      <w:pStyle w:val="Footer"/>
      <w:spacing w:line="276" w:lineRule="auto"/>
      <w:ind w:right="360"/>
      <w:jc w:val="center"/>
      <w:rPr>
        <w:rFonts w:ascii="Times New Roman" w:hAnsi="Times New Roman"/>
        <w:sz w:val="20"/>
      </w:rPr>
    </w:pPr>
    <w:r>
      <w:rPr>
        <w:noProof/>
        <w:lang w:eastAsia="bg-BG"/>
      </w:rPr>
      <mc:AlternateContent>
        <mc:Choice Requires="wps">
          <w:drawing>
            <wp:anchor distT="0" distB="0" distL="114300" distR="114300" simplePos="0" relativeHeight="251662336" behindDoc="0" locked="0" layoutInCell="1" allowOverlap="1">
              <wp:simplePos x="0" y="0"/>
              <wp:positionH relativeFrom="column">
                <wp:posOffset>-310515</wp:posOffset>
              </wp:positionH>
              <wp:positionV relativeFrom="paragraph">
                <wp:posOffset>76200</wp:posOffset>
              </wp:positionV>
              <wp:extent cx="6753225" cy="0"/>
              <wp:effectExtent l="13335" t="9525" r="5715" b="952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3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141B19C" id="_x0000_t32" coordsize="21600,21600" o:spt="32" o:oned="t" path="m,l21600,21600e" filled="f">
              <v:path arrowok="t" fillok="f" o:connecttype="none"/>
              <o:lock v:ext="edit" shapetype="t"/>
            </v:shapetype>
            <v:shape id="AutoShape 14" o:spid="_x0000_s1026" type="#_x0000_t32" style="position:absolute;margin-left:-24.45pt;margin-top:6pt;width:531.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"/>
          </w:pict>
        </mc:Fallback>
      </mc:AlternateContent>
    </w:r>
    <w:r>
      <w:rPr>
        <w:noProof/>
        <w:lang w:eastAsia="bg-BG"/>
      </w:rPr>
      <mc:AlternateContent>
        <mc:Choice Requires="wps">
          <w:drawing>
            <wp:anchor distT="4294967295" distB="4294967295" distL="114300" distR="114300" simplePos="0" relativeHeight="251661312" behindDoc="0" locked="0" layoutInCell="1" allowOverlap="1">
              <wp:simplePos x="0" y="0"/>
              <wp:positionH relativeFrom="column">
                <wp:posOffset>428625</wp:posOffset>
              </wp:positionH>
              <wp:positionV relativeFrom="paragraph">
                <wp:posOffset>9915524</wp:posOffset>
              </wp:positionV>
              <wp:extent cx="6638925" cy="0"/>
              <wp:effectExtent l="0" t="0" r="28575" b="1905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38925" cy="0"/>
                      </a:xfrm>
                      <a:prstGeom prst="line">
                        <a:avLst/>
                      </a:prstGeom>
                      <a:noFill/>
                      <a:ln w="25400" cap="flat" cmpd="dbl"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7709EB07" id="Straight Connector 10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3.75pt,780.75pt" to="556.5pt,7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" strokecolor="windowText" strokeweight="2pt">
              <v:stroke linestyle="thinThin" joinstyle="miter"/>
              <o:lock v:ext="edit" shapetype="f"/>
            </v:line>
          </w:pict>
        </mc:Fallback>
      </mc:AlternateContent>
    </w:r>
  </w:p>
  <w:p w:rsidR="007326AC" w:rsidRPr="002116CF" w:rsidRDefault="007326AC" w:rsidP="007326AC">
    <w:pPr>
      <w:pStyle w:val="Footer"/>
      <w:spacing w:line="276" w:lineRule="auto"/>
      <w:ind w:right="360"/>
      <w:jc w:val="center"/>
      <w:rPr>
        <w:rFonts w:ascii="Times New Roman" w:hAnsi="Times New Roman"/>
        <w:sz w:val="20"/>
      </w:rPr>
    </w:pPr>
    <w:r w:rsidRPr="002116CF">
      <w:rPr>
        <w:rFonts w:ascii="Times New Roman" w:hAnsi="Times New Roman"/>
        <w:sz w:val="20"/>
      </w:rPr>
      <w:t>„Този документ е създаден  във  връзка с изпълнението на проект</w:t>
    </w:r>
  </w:p>
  <w:p w:rsidR="007326AC" w:rsidRDefault="007326AC" w:rsidP="007326AC">
    <w:pPr>
      <w:pStyle w:val="Footer"/>
      <w:spacing w:line="276" w:lineRule="auto"/>
      <w:ind w:right="360"/>
      <w:jc w:val="center"/>
      <w:rPr>
        <w:rFonts w:ascii="Times New Roman" w:hAnsi="Times New Roman"/>
        <w:sz w:val="20"/>
      </w:rPr>
    </w:pPr>
    <w:r w:rsidRPr="002116CF">
      <w:rPr>
        <w:rFonts w:ascii="Times New Roman" w:hAnsi="Times New Roman"/>
        <w:sz w:val="20"/>
      </w:rPr>
      <w:t xml:space="preserve">  № BG14MFOP001-5.004-</w:t>
    </w:r>
    <w:r w:rsidR="00994BDA">
      <w:rPr>
        <w:rFonts w:ascii="Times New Roman" w:hAnsi="Times New Roman"/>
        <w:sz w:val="20"/>
        <w:lang w:val="en-US"/>
      </w:rPr>
      <w:t>0013</w:t>
    </w:r>
    <w:r>
      <w:rPr>
        <w:rFonts w:ascii="Times New Roman" w:hAnsi="Times New Roman"/>
        <w:sz w:val="20"/>
      </w:rPr>
      <w:t>,</w:t>
    </w:r>
    <w:r w:rsidRPr="002116CF">
      <w:rPr>
        <w:rFonts w:ascii="Times New Roman" w:hAnsi="Times New Roman"/>
        <w:sz w:val="20"/>
      </w:rPr>
      <w:t xml:space="preserve"> </w:t>
    </w:r>
    <w:r w:rsidRPr="0098530A">
      <w:rPr>
        <w:rFonts w:ascii="Times New Roman" w:hAnsi="Times New Roman"/>
        <w:sz w:val="20"/>
      </w:rPr>
      <w:t xml:space="preserve">финансиран по </w:t>
    </w:r>
    <w:r>
      <w:rPr>
        <w:rFonts w:ascii="Times New Roman" w:hAnsi="Times New Roman"/>
        <w:sz w:val="20"/>
      </w:rPr>
      <w:t>„</w:t>
    </w:r>
    <w:r w:rsidRPr="002116CF">
      <w:rPr>
        <w:rFonts w:ascii="Times New Roman" w:hAnsi="Times New Roman"/>
        <w:sz w:val="20"/>
      </w:rPr>
      <w:t>Програма за морско дело и рибарство</w:t>
    </w:r>
    <w:r>
      <w:rPr>
        <w:rFonts w:ascii="Times New Roman" w:hAnsi="Times New Roman"/>
        <w:sz w:val="20"/>
      </w:rPr>
      <w:t>“</w:t>
    </w:r>
    <w:r w:rsidRPr="002116CF">
      <w:rPr>
        <w:rFonts w:ascii="Times New Roman" w:hAnsi="Times New Roman"/>
        <w:sz w:val="20"/>
      </w:rPr>
      <w:t xml:space="preserve"> 2014-2020,</w:t>
    </w:r>
  </w:p>
  <w:p w:rsidR="007326AC" w:rsidRPr="002116CF" w:rsidRDefault="00216389" w:rsidP="007326AC">
    <w:pPr>
      <w:pStyle w:val="Footer"/>
      <w:spacing w:line="276" w:lineRule="auto"/>
      <w:ind w:right="360"/>
      <w:jc w:val="center"/>
      <w:rPr>
        <w:rFonts w:ascii="Times New Roman" w:hAnsi="Times New Roman"/>
        <w:sz w:val="20"/>
      </w:rPr>
    </w:pPr>
    <w:r>
      <w:rPr>
        <w:rFonts w:ascii="Times New Roman" w:hAnsi="Times New Roman"/>
        <w:sz w:val="20"/>
      </w:rPr>
      <w:t xml:space="preserve"> съ</w:t>
    </w:r>
    <w:r w:rsidR="007326AC" w:rsidRPr="002116CF">
      <w:rPr>
        <w:rFonts w:ascii="Times New Roman" w:hAnsi="Times New Roman"/>
        <w:sz w:val="20"/>
      </w:rPr>
      <w:t>финансирана от Европейския фонд за морско дело и рибарство“</w:t>
    </w:r>
  </w:p>
  <w:p w:rsidR="00147C09" w:rsidRPr="000F3BCE" w:rsidRDefault="00147C09" w:rsidP="007326AC">
    <w:pPr>
      <w:pStyle w:val="Header"/>
      <w:tabs>
        <w:tab w:val="center" w:pos="4421"/>
        <w:tab w:val="left" w:pos="7725"/>
      </w:tabs>
      <w:jc w:val="center"/>
      <w:rPr>
        <w:rFonts w:ascii="Times New Roman" w:hAnsi="Times New Roman"/>
        <w:sz w:val="20"/>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C09" w:rsidRDefault="00147C09" w:rsidP="00B273C2">
    <w:pPr>
      <w:pStyle w:val="Footer"/>
      <w:pBdr>
        <w:top w:val="single" w:sz="6" w:space="1" w:color="auto"/>
      </w:pBdr>
      <w:rPr>
        <w:rFonts w:ascii="Times New Roman" w:hAnsi="Times New Roman"/>
      </w:rPr>
    </w:pPr>
    <w:r>
      <w:rPr>
        <w:i/>
        <w:sz w:val="20"/>
      </w:rPr>
      <w:tab/>
      <w:t xml:space="preserve">           </w:t>
    </w:r>
    <w:r>
      <w:rPr>
        <w:rFonts w:ascii="Times New Roman" w:hAnsi="Times New Roman"/>
        <w:i/>
        <w:sz w:val="20"/>
      </w:rPr>
      <w:t>София, бул. “Дондуков” № 1, тел. централа  940-29-99, факс 981-81-70</w:t>
    </w:r>
    <w:r>
      <w:rPr>
        <w:rFonts w:ascii="Times New Roman" w:hAnsi="Times New Roman"/>
        <w:i/>
        <w:sz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172" w:rsidRDefault="00F80172">
      <w:r>
        <w:separator/>
      </w:r>
    </w:p>
  </w:footnote>
  <w:footnote w:type="continuationSeparator" w:id="0">
    <w:p w:rsidR="00F80172" w:rsidRDefault="00F80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C09" w:rsidRDefault="00147C09" w:rsidP="00B273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7C09" w:rsidRDefault="00147C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C09" w:rsidRPr="00DD3277" w:rsidRDefault="0094774A" w:rsidP="00095401">
    <w:pPr>
      <w:pStyle w:val="Header"/>
      <w:jc w:val="right"/>
      <w:rPr>
        <w:rFonts w:ascii="Times New Roman" w:hAnsi="Times New Roman"/>
        <w:sz w:val="20"/>
      </w:rPr>
    </w:pPr>
    <w:r>
      <w:rPr>
        <w:rFonts w:ascii="Times New Roman" w:hAnsi="Times New Roman"/>
        <w:noProof/>
        <w:sz w:val="20"/>
        <w:lang w:eastAsia="bg-BG"/>
      </w:rPr>
      <mc:AlternateContent>
        <mc:Choice Requires="wps">
          <w:drawing>
            <wp:anchor distT="0" distB="0" distL="114300" distR="114300" simplePos="0" relativeHeight="251659264" behindDoc="0" locked="0" layoutInCell="1" allowOverlap="1">
              <wp:simplePos x="0" y="0"/>
              <wp:positionH relativeFrom="column">
                <wp:posOffset>-467360</wp:posOffset>
              </wp:positionH>
              <wp:positionV relativeFrom="paragraph">
                <wp:posOffset>1036955</wp:posOffset>
              </wp:positionV>
              <wp:extent cx="7028180" cy="0"/>
              <wp:effectExtent l="5080" t="8890" r="5715" b="1016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81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D7D29A5" id="_x0000_t32" coordsize="21600,21600" o:spt="32" o:oned="t" path="m,l21600,21600e" filled="f">
              <v:path arrowok="t" fillok="f" o:connecttype="none"/>
              <o:lock v:ext="edit" shapetype="t"/>
            </v:shapetype>
            <v:shape id="AutoShape 12" o:spid="_x0000_s1026" type="#_x0000_t32" style="position:absolute;margin-left:-36.8pt;margin-top:81.65pt;width:553.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7UNQIAAHg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"/>
          </w:pict>
        </mc:Fallback>
      </mc:AlternateContent>
    </w:r>
    <w:r>
      <w:rPr>
        <w:rFonts w:ascii="Times New Roman" w:hAnsi="Times New Roman"/>
        <w:noProof/>
        <w:sz w:val="20"/>
        <w:lang w:eastAsia="bg-BG"/>
      </w:rPr>
      <w:drawing>
        <wp:anchor distT="0" distB="0" distL="114300" distR="114300" simplePos="0" relativeHeight="251658240" behindDoc="0" locked="0" layoutInCell="1" allowOverlap="1">
          <wp:simplePos x="0" y="0"/>
          <wp:positionH relativeFrom="column">
            <wp:posOffset>-266065</wp:posOffset>
          </wp:positionH>
          <wp:positionV relativeFrom="paragraph">
            <wp:posOffset>-114300</wp:posOffset>
          </wp:positionV>
          <wp:extent cx="6410325" cy="1294130"/>
          <wp:effectExtent l="0" t="0" r="9525" b="1270"/>
          <wp:wrapTopAndBottom/>
          <wp:docPr id="11" name="Picture 11" descr="Presenta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esentation1"/>
                  <pic:cNvPicPr>
                    <a:picLocks noChangeAspect="1" noChangeArrowheads="1"/>
                  </pic:cNvPicPr>
                </pic:nvPicPr>
                <pic:blipFill>
                  <a:blip r:embed="rId1">
                    <a:extLst>
                      <a:ext uri="{28A0092B-C50C-407E-A947-70E740481C1C}">
                        <a14:useLocalDpi xmlns:a14="http://schemas.microsoft.com/office/drawing/2010/main" val="0"/>
                      </a:ext>
                    </a:extLst>
                  </a:blip>
                  <a:srcRect l="11406" t="17500" r="22812" b="58888"/>
                  <a:stretch>
                    <a:fillRect/>
                  </a:stretch>
                </pic:blipFill>
                <pic:spPr bwMode="auto">
                  <a:xfrm>
                    <a:off x="0" y="0"/>
                    <a:ext cx="6410325" cy="1294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C09" w:rsidRPr="00364620" w:rsidRDefault="00147C09" w:rsidP="00BA485B">
    <w:pPr>
      <w:pStyle w:val="Title"/>
      <w:ind w:left="-360" w:right="-198"/>
      <w:rPr>
        <w:b w:val="0"/>
        <w:color w:val="999999"/>
        <w:sz w:val="18"/>
        <w:szCs w:val="18"/>
        <w:lang w:val="en-US"/>
      </w:rPr>
    </w:pPr>
    <w:r>
      <w:rPr>
        <w:color w:val="333399"/>
        <w:lang w:val="ru-RU"/>
      </w:rPr>
      <w:tab/>
    </w:r>
  </w:p>
  <w:p w:rsidR="00147C09" w:rsidRPr="00BA485B" w:rsidRDefault="0094774A" w:rsidP="00BA485B">
    <w:pPr>
      <w:pStyle w:val="Header"/>
      <w:pBdr>
        <w:bottom w:val="double" w:sz="4" w:space="1" w:color="auto"/>
      </w:pBdr>
      <w:jc w:val="center"/>
      <w:rPr>
        <w:rFonts w:ascii="Times New Roman" w:hAnsi="Times New Roman"/>
        <w:b/>
        <w:sz w:val="20"/>
      </w:rPr>
    </w:pPr>
    <w:r w:rsidRPr="00BA485B">
      <w:rPr>
        <w:rFonts w:ascii="Times New Roman" w:hAnsi="Times New Roman"/>
        <w:b/>
        <w:noProof/>
        <w:sz w:val="20"/>
        <w:lang w:eastAsia="bg-BG"/>
      </w:rPr>
      <w:drawing>
        <wp:anchor distT="0" distB="0" distL="114300" distR="114300" simplePos="0" relativeHeight="251655168" behindDoc="0" locked="0" layoutInCell="1" allowOverlap="1">
          <wp:simplePos x="0" y="0"/>
          <wp:positionH relativeFrom="column">
            <wp:posOffset>0</wp:posOffset>
          </wp:positionH>
          <wp:positionV relativeFrom="paragraph">
            <wp:posOffset>-48260</wp:posOffset>
          </wp:positionV>
          <wp:extent cx="556895" cy="342900"/>
          <wp:effectExtent l="0" t="0" r="0" b="0"/>
          <wp:wrapSquare wrapText="bothSides"/>
          <wp:docPr id="1" name="Picture 1"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9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485B">
      <w:rPr>
        <w:rFonts w:ascii="Times New Roman" w:hAnsi="Times New Roman"/>
        <w:noProof/>
        <w:sz w:val="20"/>
        <w:lang w:eastAsia="bg-BG"/>
      </w:rPr>
      <w:drawing>
        <wp:anchor distT="0" distB="0" distL="114300" distR="114300" simplePos="0" relativeHeight="251656192" behindDoc="0" locked="0" layoutInCell="1" allowOverlap="1">
          <wp:simplePos x="0" y="0"/>
          <wp:positionH relativeFrom="column">
            <wp:posOffset>5600700</wp:posOffset>
          </wp:positionH>
          <wp:positionV relativeFrom="paragraph">
            <wp:posOffset>-48260</wp:posOffset>
          </wp:positionV>
          <wp:extent cx="571500" cy="342900"/>
          <wp:effectExtent l="0" t="0" r="0" b="0"/>
          <wp:wrapSquare wrapText="bothSides"/>
          <wp:docPr id="2" name="Picture 14" descr="logo_b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bg[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47C09" w:rsidRPr="00BA485B">
      <w:rPr>
        <w:rFonts w:ascii="Times New Roman" w:hAnsi="Times New Roman"/>
        <w:b/>
        <w:sz w:val="20"/>
      </w:rPr>
      <w:t>ЕВРОПЕЙСКИ СОЦИАЛЕН ФОНД 2007 – 2013</w:t>
    </w:r>
  </w:p>
  <w:p w:rsidR="00147C09" w:rsidRPr="00BA485B" w:rsidRDefault="00147C09" w:rsidP="00BA485B">
    <w:pPr>
      <w:pStyle w:val="Header"/>
      <w:pBdr>
        <w:bottom w:val="double" w:sz="4" w:space="1" w:color="auto"/>
      </w:pBdr>
      <w:jc w:val="center"/>
      <w:rPr>
        <w:rFonts w:ascii="Times New Roman" w:hAnsi="Times New Roman"/>
        <w:b/>
        <w:sz w:val="20"/>
      </w:rPr>
    </w:pPr>
    <w:r w:rsidRPr="00BA485B">
      <w:rPr>
        <w:rFonts w:ascii="Times New Roman" w:hAnsi="Times New Roman"/>
        <w:b/>
        <w:sz w:val="20"/>
      </w:rPr>
      <w:t>МИНИСТЕРСТВО НА ТРУДА И СОЦИАЛНАТА ПОЛИТИКА</w:t>
    </w:r>
  </w:p>
  <w:p w:rsidR="00147C09" w:rsidRPr="000F3BCE" w:rsidRDefault="00147C09" w:rsidP="00BA485B">
    <w:pPr>
      <w:pStyle w:val="Header"/>
      <w:pBdr>
        <w:bottom w:val="double" w:sz="4" w:space="1" w:color="auto"/>
      </w:pBdr>
      <w:jc w:val="center"/>
      <w:rPr>
        <w:rFonts w:ascii="Times New Roman" w:hAnsi="Times New Roman"/>
        <w:b/>
        <w:sz w:val="20"/>
        <w:lang w:val="ru-RU"/>
      </w:rPr>
    </w:pPr>
    <w:r w:rsidRPr="00BA485B">
      <w:rPr>
        <w:rFonts w:ascii="Times New Roman" w:hAnsi="Times New Roman"/>
        <w:b/>
        <w:sz w:val="20"/>
      </w:rPr>
      <w:t>ОПЕРАТИВНА ПРОГРАМА „РАЗВИТИЕ НА ЧОВЕШКИТЕ РЕСУРСИ”</w:t>
    </w:r>
  </w:p>
  <w:p w:rsidR="00147C09" w:rsidRPr="00BA485B" w:rsidRDefault="00147C09" w:rsidP="00BA485B">
    <w:pPr>
      <w:pStyle w:val="Header"/>
      <w:pBdr>
        <w:bottom w:val="double" w:sz="4" w:space="1" w:color="auto"/>
      </w:pBdr>
      <w:jc w:val="right"/>
      <w:rPr>
        <w:rFonts w:ascii="Times New Roman" w:hAnsi="Times New Roman"/>
        <w:sz w:val="20"/>
      </w:rPr>
    </w:pPr>
    <w:r w:rsidRPr="00BA485B">
      <w:rPr>
        <w:rFonts w:ascii="Times New Roman" w:hAnsi="Times New Roman"/>
        <w:sz w:val="20"/>
      </w:rPr>
      <w:t>ПМС 69/11.03.2013</w:t>
    </w:r>
  </w:p>
  <w:p w:rsidR="00147C09" w:rsidRPr="00BA485B" w:rsidRDefault="00147C09" w:rsidP="00BA485B">
    <w:pPr>
      <w:pStyle w:val="Header"/>
      <w:pBdr>
        <w:bottom w:val="double" w:sz="4" w:space="1" w:color="auto"/>
      </w:pBdr>
      <w:jc w:val="right"/>
      <w:rPr>
        <w:rFonts w:ascii="Times New Roman" w:hAnsi="Times New Roman"/>
        <w:sz w:val="16"/>
        <w:szCs w:val="16"/>
      </w:rPr>
    </w:pPr>
    <w:r w:rsidRPr="00BA485B">
      <w:rPr>
        <w:rFonts w:ascii="Times New Roman" w:hAnsi="Times New Roman"/>
        <w:sz w:val="20"/>
      </w:rPr>
      <w:t xml:space="preserve">Образец на </w:t>
    </w:r>
    <w:r>
      <w:rPr>
        <w:rFonts w:ascii="Times New Roman" w:hAnsi="Times New Roman"/>
        <w:sz w:val="20"/>
      </w:rPr>
      <w:t>публична покана</w:t>
    </w:r>
    <w:r w:rsidRPr="00BA485B">
      <w:rPr>
        <w:rFonts w:ascii="Times New Roman" w:hAnsi="Times New Roman"/>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4CEA022"/>
    <w:lvl w:ilvl="0">
      <w:numFmt w:val="bullet"/>
      <w:lvlText w:val="*"/>
      <w:lvlJc w:val="left"/>
    </w:lvl>
  </w:abstractNum>
  <w:abstractNum w:abstractNumId="1" w15:restartNumberingAfterBreak="0">
    <w:nsid w:val="033E056C"/>
    <w:multiLevelType w:val="hybridMultilevel"/>
    <w:tmpl w:val="6D0282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6C274C"/>
    <w:multiLevelType w:val="multilevel"/>
    <w:tmpl w:val="A768B32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B77AB7"/>
    <w:multiLevelType w:val="hybridMultilevel"/>
    <w:tmpl w:val="74042EA6"/>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0A06293C"/>
    <w:multiLevelType w:val="hybridMultilevel"/>
    <w:tmpl w:val="4056A11A"/>
    <w:lvl w:ilvl="0" w:tplc="309884E8">
      <w:start w:val="1"/>
      <w:numFmt w:val="decimal"/>
      <w:lvlText w:val="%1."/>
      <w:lvlJc w:val="left"/>
      <w:pPr>
        <w:tabs>
          <w:tab w:val="num" w:pos="5145"/>
        </w:tabs>
        <w:ind w:left="5145" w:hanging="607"/>
      </w:pPr>
      <w:rPr>
        <w:rFonts w:ascii="HebarU" w:eastAsia="Times New Roman" w:hAnsi="HebarU" w:cs="Times New Roman"/>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C3C0643"/>
    <w:multiLevelType w:val="multilevel"/>
    <w:tmpl w:val="8D766114"/>
    <w:lvl w:ilvl="0">
      <w:start w:val="1"/>
      <w:numFmt w:val="decimal"/>
      <w:lvlText w:val="%1."/>
      <w:lvlJc w:val="left"/>
      <w:pPr>
        <w:ind w:left="927"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75A7B99"/>
    <w:multiLevelType w:val="hybridMultilevel"/>
    <w:tmpl w:val="5A7CAC9C"/>
    <w:lvl w:ilvl="0" w:tplc="2F74F38C">
      <w:start w:val="1"/>
      <w:numFmt w:val="russianLower"/>
      <w:lvlText w:val="%1)"/>
      <w:lvlJc w:val="left"/>
      <w:pPr>
        <w:tabs>
          <w:tab w:val="num" w:pos="5145"/>
        </w:tabs>
        <w:ind w:left="5145" w:hanging="607"/>
      </w:pPr>
      <w:rPr>
        <w:rFonts w:hint="default"/>
        <w:b w:val="0"/>
        <w:i w:val="0"/>
      </w:rPr>
    </w:lvl>
    <w:lvl w:ilvl="1" w:tplc="6D9EC15C">
      <w:start w:val="1"/>
      <w:numFmt w:val="decimal"/>
      <w:lvlText w:val="%2."/>
      <w:lvlJc w:val="left"/>
      <w:pPr>
        <w:tabs>
          <w:tab w:val="num" w:pos="2070"/>
        </w:tabs>
        <w:ind w:left="2070" w:hanging="990"/>
      </w:pPr>
      <w:rPr>
        <w:rFonts w:ascii="Times New Roman" w:eastAsia="Times New Roman" w:hAnsi="Times New Roman" w:cs="Times New Roman"/>
        <w:i w:val="0"/>
        <w:sz w:val="24"/>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8214F5C"/>
    <w:multiLevelType w:val="multilevel"/>
    <w:tmpl w:val="854C32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B1418B"/>
    <w:multiLevelType w:val="hybridMultilevel"/>
    <w:tmpl w:val="5E4E37B6"/>
    <w:lvl w:ilvl="0" w:tplc="0402000F">
      <w:start w:val="1"/>
      <w:numFmt w:val="decimal"/>
      <w:lvlText w:val="%1."/>
      <w:lvlJc w:val="left"/>
      <w:pPr>
        <w:tabs>
          <w:tab w:val="num" w:pos="1476"/>
        </w:tabs>
        <w:ind w:left="1476" w:hanging="360"/>
      </w:pPr>
    </w:lvl>
    <w:lvl w:ilvl="1" w:tplc="04020019" w:tentative="1">
      <w:start w:val="1"/>
      <w:numFmt w:val="lowerLetter"/>
      <w:lvlText w:val="%2."/>
      <w:lvlJc w:val="left"/>
      <w:pPr>
        <w:tabs>
          <w:tab w:val="num" w:pos="2196"/>
        </w:tabs>
        <w:ind w:left="2196" w:hanging="360"/>
      </w:pPr>
    </w:lvl>
    <w:lvl w:ilvl="2" w:tplc="0402001B" w:tentative="1">
      <w:start w:val="1"/>
      <w:numFmt w:val="lowerRoman"/>
      <w:lvlText w:val="%3."/>
      <w:lvlJc w:val="right"/>
      <w:pPr>
        <w:tabs>
          <w:tab w:val="num" w:pos="2916"/>
        </w:tabs>
        <w:ind w:left="2916" w:hanging="180"/>
      </w:pPr>
    </w:lvl>
    <w:lvl w:ilvl="3" w:tplc="0402000F" w:tentative="1">
      <w:start w:val="1"/>
      <w:numFmt w:val="decimal"/>
      <w:lvlText w:val="%4."/>
      <w:lvlJc w:val="left"/>
      <w:pPr>
        <w:tabs>
          <w:tab w:val="num" w:pos="3636"/>
        </w:tabs>
        <w:ind w:left="3636" w:hanging="360"/>
      </w:pPr>
    </w:lvl>
    <w:lvl w:ilvl="4" w:tplc="04020019" w:tentative="1">
      <w:start w:val="1"/>
      <w:numFmt w:val="lowerLetter"/>
      <w:lvlText w:val="%5."/>
      <w:lvlJc w:val="left"/>
      <w:pPr>
        <w:tabs>
          <w:tab w:val="num" w:pos="4356"/>
        </w:tabs>
        <w:ind w:left="4356" w:hanging="360"/>
      </w:pPr>
    </w:lvl>
    <w:lvl w:ilvl="5" w:tplc="0402001B" w:tentative="1">
      <w:start w:val="1"/>
      <w:numFmt w:val="lowerRoman"/>
      <w:lvlText w:val="%6."/>
      <w:lvlJc w:val="right"/>
      <w:pPr>
        <w:tabs>
          <w:tab w:val="num" w:pos="5076"/>
        </w:tabs>
        <w:ind w:left="5076" w:hanging="180"/>
      </w:pPr>
    </w:lvl>
    <w:lvl w:ilvl="6" w:tplc="0402000F" w:tentative="1">
      <w:start w:val="1"/>
      <w:numFmt w:val="decimal"/>
      <w:lvlText w:val="%7."/>
      <w:lvlJc w:val="left"/>
      <w:pPr>
        <w:tabs>
          <w:tab w:val="num" w:pos="5796"/>
        </w:tabs>
        <w:ind w:left="5796" w:hanging="360"/>
      </w:pPr>
    </w:lvl>
    <w:lvl w:ilvl="7" w:tplc="04020019" w:tentative="1">
      <w:start w:val="1"/>
      <w:numFmt w:val="lowerLetter"/>
      <w:lvlText w:val="%8."/>
      <w:lvlJc w:val="left"/>
      <w:pPr>
        <w:tabs>
          <w:tab w:val="num" w:pos="6516"/>
        </w:tabs>
        <w:ind w:left="6516" w:hanging="360"/>
      </w:pPr>
    </w:lvl>
    <w:lvl w:ilvl="8" w:tplc="0402001B" w:tentative="1">
      <w:start w:val="1"/>
      <w:numFmt w:val="lowerRoman"/>
      <w:lvlText w:val="%9."/>
      <w:lvlJc w:val="right"/>
      <w:pPr>
        <w:tabs>
          <w:tab w:val="num" w:pos="7236"/>
        </w:tabs>
        <w:ind w:left="7236" w:hanging="180"/>
      </w:pPr>
    </w:lvl>
  </w:abstractNum>
  <w:abstractNum w:abstractNumId="9" w15:restartNumberingAfterBreak="0">
    <w:nsid w:val="23145FD7"/>
    <w:multiLevelType w:val="multilevel"/>
    <w:tmpl w:val="854C32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073EF9"/>
    <w:multiLevelType w:val="hybridMultilevel"/>
    <w:tmpl w:val="1FAC76C4"/>
    <w:lvl w:ilvl="0" w:tplc="0402000F">
      <w:start w:val="1"/>
      <w:numFmt w:val="decimal"/>
      <w:lvlText w:val="%1."/>
      <w:lvlJc w:val="left"/>
      <w:pPr>
        <w:tabs>
          <w:tab w:val="num" w:pos="791"/>
        </w:tabs>
        <w:ind w:left="791" w:hanging="360"/>
      </w:pPr>
    </w:lvl>
    <w:lvl w:ilvl="1" w:tplc="04020019" w:tentative="1">
      <w:start w:val="1"/>
      <w:numFmt w:val="lowerLetter"/>
      <w:lvlText w:val="%2."/>
      <w:lvlJc w:val="left"/>
      <w:pPr>
        <w:tabs>
          <w:tab w:val="num" w:pos="1511"/>
        </w:tabs>
        <w:ind w:left="1511" w:hanging="360"/>
      </w:pPr>
    </w:lvl>
    <w:lvl w:ilvl="2" w:tplc="0402001B" w:tentative="1">
      <w:start w:val="1"/>
      <w:numFmt w:val="lowerRoman"/>
      <w:lvlText w:val="%3."/>
      <w:lvlJc w:val="right"/>
      <w:pPr>
        <w:tabs>
          <w:tab w:val="num" w:pos="2231"/>
        </w:tabs>
        <w:ind w:left="2231" w:hanging="180"/>
      </w:pPr>
    </w:lvl>
    <w:lvl w:ilvl="3" w:tplc="0402000F" w:tentative="1">
      <w:start w:val="1"/>
      <w:numFmt w:val="decimal"/>
      <w:lvlText w:val="%4."/>
      <w:lvlJc w:val="left"/>
      <w:pPr>
        <w:tabs>
          <w:tab w:val="num" w:pos="2951"/>
        </w:tabs>
        <w:ind w:left="2951" w:hanging="360"/>
      </w:pPr>
    </w:lvl>
    <w:lvl w:ilvl="4" w:tplc="04020019" w:tentative="1">
      <w:start w:val="1"/>
      <w:numFmt w:val="lowerLetter"/>
      <w:lvlText w:val="%5."/>
      <w:lvlJc w:val="left"/>
      <w:pPr>
        <w:tabs>
          <w:tab w:val="num" w:pos="3671"/>
        </w:tabs>
        <w:ind w:left="3671" w:hanging="360"/>
      </w:pPr>
    </w:lvl>
    <w:lvl w:ilvl="5" w:tplc="0402001B" w:tentative="1">
      <w:start w:val="1"/>
      <w:numFmt w:val="lowerRoman"/>
      <w:lvlText w:val="%6."/>
      <w:lvlJc w:val="right"/>
      <w:pPr>
        <w:tabs>
          <w:tab w:val="num" w:pos="4391"/>
        </w:tabs>
        <w:ind w:left="4391" w:hanging="180"/>
      </w:pPr>
    </w:lvl>
    <w:lvl w:ilvl="6" w:tplc="0402000F" w:tentative="1">
      <w:start w:val="1"/>
      <w:numFmt w:val="decimal"/>
      <w:lvlText w:val="%7."/>
      <w:lvlJc w:val="left"/>
      <w:pPr>
        <w:tabs>
          <w:tab w:val="num" w:pos="5111"/>
        </w:tabs>
        <w:ind w:left="5111" w:hanging="360"/>
      </w:pPr>
    </w:lvl>
    <w:lvl w:ilvl="7" w:tplc="04020019" w:tentative="1">
      <w:start w:val="1"/>
      <w:numFmt w:val="lowerLetter"/>
      <w:lvlText w:val="%8."/>
      <w:lvlJc w:val="left"/>
      <w:pPr>
        <w:tabs>
          <w:tab w:val="num" w:pos="5831"/>
        </w:tabs>
        <w:ind w:left="5831" w:hanging="360"/>
      </w:pPr>
    </w:lvl>
    <w:lvl w:ilvl="8" w:tplc="0402001B" w:tentative="1">
      <w:start w:val="1"/>
      <w:numFmt w:val="lowerRoman"/>
      <w:lvlText w:val="%9."/>
      <w:lvlJc w:val="right"/>
      <w:pPr>
        <w:tabs>
          <w:tab w:val="num" w:pos="6551"/>
        </w:tabs>
        <w:ind w:left="6551" w:hanging="180"/>
      </w:pPr>
    </w:lvl>
  </w:abstractNum>
  <w:abstractNum w:abstractNumId="11" w15:restartNumberingAfterBreak="0">
    <w:nsid w:val="30C70202"/>
    <w:multiLevelType w:val="multilevel"/>
    <w:tmpl w:val="854C32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B153CF"/>
    <w:multiLevelType w:val="hybridMultilevel"/>
    <w:tmpl w:val="3B548AEC"/>
    <w:lvl w:ilvl="0" w:tplc="21DC81A6">
      <w:start w:val="1"/>
      <w:numFmt w:val="decimal"/>
      <w:lvlText w:val="%1."/>
      <w:lvlJc w:val="left"/>
      <w:pPr>
        <w:tabs>
          <w:tab w:val="num" w:pos="660"/>
        </w:tabs>
        <w:ind w:left="660" w:hanging="360"/>
      </w:pPr>
      <w:rPr>
        <w:rFonts w:hint="default"/>
      </w:rPr>
    </w:lvl>
    <w:lvl w:ilvl="1" w:tplc="04020019" w:tentative="1">
      <w:start w:val="1"/>
      <w:numFmt w:val="lowerLetter"/>
      <w:lvlText w:val="%2."/>
      <w:lvlJc w:val="left"/>
      <w:pPr>
        <w:tabs>
          <w:tab w:val="num" w:pos="1380"/>
        </w:tabs>
        <w:ind w:left="1380" w:hanging="360"/>
      </w:pPr>
    </w:lvl>
    <w:lvl w:ilvl="2" w:tplc="0402001B" w:tentative="1">
      <w:start w:val="1"/>
      <w:numFmt w:val="lowerRoman"/>
      <w:lvlText w:val="%3."/>
      <w:lvlJc w:val="right"/>
      <w:pPr>
        <w:tabs>
          <w:tab w:val="num" w:pos="2100"/>
        </w:tabs>
        <w:ind w:left="2100" w:hanging="180"/>
      </w:pPr>
    </w:lvl>
    <w:lvl w:ilvl="3" w:tplc="0402000F" w:tentative="1">
      <w:start w:val="1"/>
      <w:numFmt w:val="decimal"/>
      <w:lvlText w:val="%4."/>
      <w:lvlJc w:val="left"/>
      <w:pPr>
        <w:tabs>
          <w:tab w:val="num" w:pos="2820"/>
        </w:tabs>
        <w:ind w:left="2820" w:hanging="360"/>
      </w:pPr>
    </w:lvl>
    <w:lvl w:ilvl="4" w:tplc="04020019" w:tentative="1">
      <w:start w:val="1"/>
      <w:numFmt w:val="lowerLetter"/>
      <w:lvlText w:val="%5."/>
      <w:lvlJc w:val="left"/>
      <w:pPr>
        <w:tabs>
          <w:tab w:val="num" w:pos="3540"/>
        </w:tabs>
        <w:ind w:left="3540" w:hanging="360"/>
      </w:pPr>
    </w:lvl>
    <w:lvl w:ilvl="5" w:tplc="0402001B" w:tentative="1">
      <w:start w:val="1"/>
      <w:numFmt w:val="lowerRoman"/>
      <w:lvlText w:val="%6."/>
      <w:lvlJc w:val="right"/>
      <w:pPr>
        <w:tabs>
          <w:tab w:val="num" w:pos="4260"/>
        </w:tabs>
        <w:ind w:left="4260" w:hanging="180"/>
      </w:pPr>
    </w:lvl>
    <w:lvl w:ilvl="6" w:tplc="0402000F" w:tentative="1">
      <w:start w:val="1"/>
      <w:numFmt w:val="decimal"/>
      <w:lvlText w:val="%7."/>
      <w:lvlJc w:val="left"/>
      <w:pPr>
        <w:tabs>
          <w:tab w:val="num" w:pos="4980"/>
        </w:tabs>
        <w:ind w:left="4980" w:hanging="360"/>
      </w:pPr>
    </w:lvl>
    <w:lvl w:ilvl="7" w:tplc="04020019" w:tentative="1">
      <w:start w:val="1"/>
      <w:numFmt w:val="lowerLetter"/>
      <w:lvlText w:val="%8."/>
      <w:lvlJc w:val="left"/>
      <w:pPr>
        <w:tabs>
          <w:tab w:val="num" w:pos="5700"/>
        </w:tabs>
        <w:ind w:left="5700" w:hanging="360"/>
      </w:pPr>
    </w:lvl>
    <w:lvl w:ilvl="8" w:tplc="0402001B" w:tentative="1">
      <w:start w:val="1"/>
      <w:numFmt w:val="lowerRoman"/>
      <w:lvlText w:val="%9."/>
      <w:lvlJc w:val="right"/>
      <w:pPr>
        <w:tabs>
          <w:tab w:val="num" w:pos="6420"/>
        </w:tabs>
        <w:ind w:left="6420" w:hanging="180"/>
      </w:pPr>
    </w:lvl>
  </w:abstractNum>
  <w:abstractNum w:abstractNumId="13" w15:restartNumberingAfterBreak="0">
    <w:nsid w:val="36F2283F"/>
    <w:multiLevelType w:val="hybridMultilevel"/>
    <w:tmpl w:val="EB02292C"/>
    <w:lvl w:ilvl="0" w:tplc="FAB4977C">
      <w:start w:val="15"/>
      <w:numFmt w:val="decimal"/>
      <w:lvlText w:val="%1"/>
      <w:lvlJc w:val="left"/>
      <w:pPr>
        <w:ind w:left="1200" w:hanging="360"/>
      </w:pPr>
      <w:rPr>
        <w:rFonts w:hint="default"/>
        <w:b/>
      </w:r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4" w15:restartNumberingAfterBreak="0">
    <w:nsid w:val="372E10F5"/>
    <w:multiLevelType w:val="multilevel"/>
    <w:tmpl w:val="39049F0C"/>
    <w:lvl w:ilvl="0">
      <w:start w:val="1"/>
      <w:numFmt w:val="decimal"/>
      <w:lvlText w:val="%1."/>
      <w:lvlJc w:val="left"/>
      <w:pPr>
        <w:ind w:left="1353"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5" w15:restartNumberingAfterBreak="0">
    <w:nsid w:val="3B684F87"/>
    <w:multiLevelType w:val="hybridMultilevel"/>
    <w:tmpl w:val="516E5B7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DFF1550"/>
    <w:multiLevelType w:val="hybridMultilevel"/>
    <w:tmpl w:val="77F6B2DA"/>
    <w:lvl w:ilvl="0" w:tplc="AA368AE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7" w15:restartNumberingAfterBreak="0">
    <w:nsid w:val="43DE4E77"/>
    <w:multiLevelType w:val="hybridMultilevel"/>
    <w:tmpl w:val="38EE91A6"/>
    <w:lvl w:ilvl="0" w:tplc="547C9A2C">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BDC05B1"/>
    <w:multiLevelType w:val="hybridMultilevel"/>
    <w:tmpl w:val="079AE088"/>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9" w15:restartNumberingAfterBreak="0">
    <w:nsid w:val="593B6352"/>
    <w:multiLevelType w:val="hybridMultilevel"/>
    <w:tmpl w:val="F22AEE6E"/>
    <w:lvl w:ilvl="0" w:tplc="521A3A96">
      <w:start w:val="15"/>
      <w:numFmt w:val="decimal"/>
      <w:lvlText w:val="%1"/>
      <w:lvlJc w:val="left"/>
      <w:pPr>
        <w:ind w:left="712" w:hanging="360"/>
      </w:pPr>
      <w:rPr>
        <w:rFonts w:hint="default"/>
      </w:rPr>
    </w:lvl>
    <w:lvl w:ilvl="1" w:tplc="04020019" w:tentative="1">
      <w:start w:val="1"/>
      <w:numFmt w:val="lowerLetter"/>
      <w:lvlText w:val="%2."/>
      <w:lvlJc w:val="left"/>
      <w:pPr>
        <w:ind w:left="1432" w:hanging="360"/>
      </w:pPr>
    </w:lvl>
    <w:lvl w:ilvl="2" w:tplc="0402001B" w:tentative="1">
      <w:start w:val="1"/>
      <w:numFmt w:val="lowerRoman"/>
      <w:lvlText w:val="%3."/>
      <w:lvlJc w:val="right"/>
      <w:pPr>
        <w:ind w:left="2152" w:hanging="180"/>
      </w:pPr>
    </w:lvl>
    <w:lvl w:ilvl="3" w:tplc="0402000F" w:tentative="1">
      <w:start w:val="1"/>
      <w:numFmt w:val="decimal"/>
      <w:lvlText w:val="%4."/>
      <w:lvlJc w:val="left"/>
      <w:pPr>
        <w:ind w:left="2872" w:hanging="360"/>
      </w:pPr>
    </w:lvl>
    <w:lvl w:ilvl="4" w:tplc="04020019" w:tentative="1">
      <w:start w:val="1"/>
      <w:numFmt w:val="lowerLetter"/>
      <w:lvlText w:val="%5."/>
      <w:lvlJc w:val="left"/>
      <w:pPr>
        <w:ind w:left="3592" w:hanging="360"/>
      </w:pPr>
    </w:lvl>
    <w:lvl w:ilvl="5" w:tplc="0402001B" w:tentative="1">
      <w:start w:val="1"/>
      <w:numFmt w:val="lowerRoman"/>
      <w:lvlText w:val="%6."/>
      <w:lvlJc w:val="right"/>
      <w:pPr>
        <w:ind w:left="4312" w:hanging="180"/>
      </w:pPr>
    </w:lvl>
    <w:lvl w:ilvl="6" w:tplc="0402000F" w:tentative="1">
      <w:start w:val="1"/>
      <w:numFmt w:val="decimal"/>
      <w:lvlText w:val="%7."/>
      <w:lvlJc w:val="left"/>
      <w:pPr>
        <w:ind w:left="5032" w:hanging="360"/>
      </w:pPr>
    </w:lvl>
    <w:lvl w:ilvl="7" w:tplc="04020019" w:tentative="1">
      <w:start w:val="1"/>
      <w:numFmt w:val="lowerLetter"/>
      <w:lvlText w:val="%8."/>
      <w:lvlJc w:val="left"/>
      <w:pPr>
        <w:ind w:left="5752" w:hanging="360"/>
      </w:pPr>
    </w:lvl>
    <w:lvl w:ilvl="8" w:tplc="0402001B" w:tentative="1">
      <w:start w:val="1"/>
      <w:numFmt w:val="lowerRoman"/>
      <w:lvlText w:val="%9."/>
      <w:lvlJc w:val="right"/>
      <w:pPr>
        <w:ind w:left="6472" w:hanging="180"/>
      </w:pPr>
    </w:lvl>
  </w:abstractNum>
  <w:abstractNum w:abstractNumId="20" w15:restartNumberingAfterBreak="0">
    <w:nsid w:val="5E3A14D6"/>
    <w:multiLevelType w:val="hybridMultilevel"/>
    <w:tmpl w:val="571C5594"/>
    <w:lvl w:ilvl="0" w:tplc="602E22AA">
      <w:start w:val="1"/>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9540FC"/>
    <w:multiLevelType w:val="hybridMultilevel"/>
    <w:tmpl w:val="66E4CD58"/>
    <w:lvl w:ilvl="0" w:tplc="43FA5C66">
      <w:start w:val="1"/>
      <w:numFmt w:val="bullet"/>
      <w:lvlText w:val="-"/>
      <w:lvlJc w:val="left"/>
      <w:pPr>
        <w:tabs>
          <w:tab w:val="num" w:pos="1114"/>
        </w:tabs>
        <w:ind w:left="1114" w:hanging="360"/>
      </w:pPr>
      <w:rPr>
        <w:rFonts w:ascii="Courier New" w:hAnsi="Courier New" w:hint="default"/>
      </w:rPr>
    </w:lvl>
    <w:lvl w:ilvl="1" w:tplc="04020003" w:tentative="1">
      <w:start w:val="1"/>
      <w:numFmt w:val="bullet"/>
      <w:lvlText w:val="o"/>
      <w:lvlJc w:val="left"/>
      <w:pPr>
        <w:tabs>
          <w:tab w:val="num" w:pos="1834"/>
        </w:tabs>
        <w:ind w:left="1834" w:hanging="360"/>
      </w:pPr>
      <w:rPr>
        <w:rFonts w:ascii="Courier New" w:hAnsi="Courier New" w:cs="Courier New" w:hint="default"/>
      </w:rPr>
    </w:lvl>
    <w:lvl w:ilvl="2" w:tplc="04020005" w:tentative="1">
      <w:start w:val="1"/>
      <w:numFmt w:val="bullet"/>
      <w:lvlText w:val=""/>
      <w:lvlJc w:val="left"/>
      <w:pPr>
        <w:tabs>
          <w:tab w:val="num" w:pos="2554"/>
        </w:tabs>
        <w:ind w:left="2554" w:hanging="360"/>
      </w:pPr>
      <w:rPr>
        <w:rFonts w:ascii="Wingdings" w:hAnsi="Wingdings" w:hint="default"/>
      </w:rPr>
    </w:lvl>
    <w:lvl w:ilvl="3" w:tplc="04020001" w:tentative="1">
      <w:start w:val="1"/>
      <w:numFmt w:val="bullet"/>
      <w:lvlText w:val=""/>
      <w:lvlJc w:val="left"/>
      <w:pPr>
        <w:tabs>
          <w:tab w:val="num" w:pos="3274"/>
        </w:tabs>
        <w:ind w:left="3274" w:hanging="360"/>
      </w:pPr>
      <w:rPr>
        <w:rFonts w:ascii="Symbol" w:hAnsi="Symbol" w:hint="default"/>
      </w:rPr>
    </w:lvl>
    <w:lvl w:ilvl="4" w:tplc="04020003" w:tentative="1">
      <w:start w:val="1"/>
      <w:numFmt w:val="bullet"/>
      <w:lvlText w:val="o"/>
      <w:lvlJc w:val="left"/>
      <w:pPr>
        <w:tabs>
          <w:tab w:val="num" w:pos="3994"/>
        </w:tabs>
        <w:ind w:left="3994" w:hanging="360"/>
      </w:pPr>
      <w:rPr>
        <w:rFonts w:ascii="Courier New" w:hAnsi="Courier New" w:cs="Courier New" w:hint="default"/>
      </w:rPr>
    </w:lvl>
    <w:lvl w:ilvl="5" w:tplc="04020005" w:tentative="1">
      <w:start w:val="1"/>
      <w:numFmt w:val="bullet"/>
      <w:lvlText w:val=""/>
      <w:lvlJc w:val="left"/>
      <w:pPr>
        <w:tabs>
          <w:tab w:val="num" w:pos="4714"/>
        </w:tabs>
        <w:ind w:left="4714" w:hanging="360"/>
      </w:pPr>
      <w:rPr>
        <w:rFonts w:ascii="Wingdings" w:hAnsi="Wingdings" w:hint="default"/>
      </w:rPr>
    </w:lvl>
    <w:lvl w:ilvl="6" w:tplc="04020001" w:tentative="1">
      <w:start w:val="1"/>
      <w:numFmt w:val="bullet"/>
      <w:lvlText w:val=""/>
      <w:lvlJc w:val="left"/>
      <w:pPr>
        <w:tabs>
          <w:tab w:val="num" w:pos="5434"/>
        </w:tabs>
        <w:ind w:left="5434" w:hanging="360"/>
      </w:pPr>
      <w:rPr>
        <w:rFonts w:ascii="Symbol" w:hAnsi="Symbol" w:hint="default"/>
      </w:rPr>
    </w:lvl>
    <w:lvl w:ilvl="7" w:tplc="04020003" w:tentative="1">
      <w:start w:val="1"/>
      <w:numFmt w:val="bullet"/>
      <w:lvlText w:val="o"/>
      <w:lvlJc w:val="left"/>
      <w:pPr>
        <w:tabs>
          <w:tab w:val="num" w:pos="6154"/>
        </w:tabs>
        <w:ind w:left="6154" w:hanging="360"/>
      </w:pPr>
      <w:rPr>
        <w:rFonts w:ascii="Courier New" w:hAnsi="Courier New" w:cs="Courier New" w:hint="default"/>
      </w:rPr>
    </w:lvl>
    <w:lvl w:ilvl="8" w:tplc="04020005" w:tentative="1">
      <w:start w:val="1"/>
      <w:numFmt w:val="bullet"/>
      <w:lvlText w:val=""/>
      <w:lvlJc w:val="left"/>
      <w:pPr>
        <w:tabs>
          <w:tab w:val="num" w:pos="6874"/>
        </w:tabs>
        <w:ind w:left="6874" w:hanging="360"/>
      </w:pPr>
      <w:rPr>
        <w:rFonts w:ascii="Wingdings" w:hAnsi="Wingdings" w:hint="default"/>
      </w:rPr>
    </w:lvl>
  </w:abstractNum>
  <w:abstractNum w:abstractNumId="22" w15:restartNumberingAfterBreak="0">
    <w:nsid w:val="68426EEF"/>
    <w:multiLevelType w:val="multilevel"/>
    <w:tmpl w:val="181A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8"/>
  </w:num>
  <w:num w:numId="3">
    <w:abstractNumId w:val="10"/>
  </w:num>
  <w:num w:numId="4">
    <w:abstractNumId w:val="18"/>
  </w:num>
  <w:num w:numId="5">
    <w:abstractNumId w:val="12"/>
  </w:num>
  <w:num w:numId="6">
    <w:abstractNumId w:val="20"/>
  </w:num>
  <w:num w:numId="7">
    <w:abstractNumId w:val="16"/>
  </w:num>
  <w:num w:numId="8">
    <w:abstractNumId w:val="4"/>
  </w:num>
  <w:num w:numId="9">
    <w:abstractNumId w:val="6"/>
  </w:num>
  <w:num w:numId="10">
    <w:abstractNumId w:val="3"/>
  </w:num>
  <w:num w:numId="11">
    <w:abstractNumId w:val="15"/>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7"/>
  </w:num>
  <w:num w:numId="15">
    <w:abstractNumId w:val="5"/>
  </w:num>
  <w:num w:numId="16">
    <w:abstractNumId w:val="14"/>
  </w:num>
  <w:num w:numId="17">
    <w:abstractNumId w:val="0"/>
    <w:lvlOverride w:ilvl="0">
      <w:lvl w:ilvl="0">
        <w:numFmt w:val="bullet"/>
        <w:lvlText w:val=""/>
        <w:legacy w:legacy="1" w:legacySpace="0" w:legacyIndent="360"/>
        <w:lvlJc w:val="left"/>
        <w:rPr>
          <w:rFonts w:ascii="Symbol" w:hAnsi="Symbol" w:hint="default"/>
        </w:rPr>
      </w:lvl>
    </w:lvlOverride>
  </w:num>
  <w:num w:numId="18">
    <w:abstractNumId w:val="2"/>
  </w:num>
  <w:num w:numId="19">
    <w:abstractNumId w:val="11"/>
  </w:num>
  <w:num w:numId="20">
    <w:abstractNumId w:val="9"/>
  </w:num>
  <w:num w:numId="21">
    <w:abstractNumId w:val="7"/>
  </w:num>
  <w:num w:numId="22">
    <w:abstractNumId w:val="1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3C2"/>
    <w:rsid w:val="00000BAE"/>
    <w:rsid w:val="00012C31"/>
    <w:rsid w:val="000315FE"/>
    <w:rsid w:val="00035C87"/>
    <w:rsid w:val="000373E1"/>
    <w:rsid w:val="00042B34"/>
    <w:rsid w:val="000436EA"/>
    <w:rsid w:val="00046931"/>
    <w:rsid w:val="000469B1"/>
    <w:rsid w:val="00047CF1"/>
    <w:rsid w:val="00050650"/>
    <w:rsid w:val="00050E6F"/>
    <w:rsid w:val="00055429"/>
    <w:rsid w:val="0006059F"/>
    <w:rsid w:val="0006141D"/>
    <w:rsid w:val="000653D5"/>
    <w:rsid w:val="000657B3"/>
    <w:rsid w:val="00075007"/>
    <w:rsid w:val="0008014A"/>
    <w:rsid w:val="000850FE"/>
    <w:rsid w:val="00092F0F"/>
    <w:rsid w:val="0009312D"/>
    <w:rsid w:val="00095401"/>
    <w:rsid w:val="000A158F"/>
    <w:rsid w:val="000B1549"/>
    <w:rsid w:val="000B520D"/>
    <w:rsid w:val="000B765B"/>
    <w:rsid w:val="000C052A"/>
    <w:rsid w:val="000C0C2B"/>
    <w:rsid w:val="000C79E3"/>
    <w:rsid w:val="000D2A56"/>
    <w:rsid w:val="000D2F76"/>
    <w:rsid w:val="000D5121"/>
    <w:rsid w:val="000D5F57"/>
    <w:rsid w:val="000D72B3"/>
    <w:rsid w:val="000E12A8"/>
    <w:rsid w:val="000E3B0B"/>
    <w:rsid w:val="000E3EB2"/>
    <w:rsid w:val="000F3BCE"/>
    <w:rsid w:val="000F57BA"/>
    <w:rsid w:val="000F7AFC"/>
    <w:rsid w:val="00100274"/>
    <w:rsid w:val="001018FF"/>
    <w:rsid w:val="00101A60"/>
    <w:rsid w:val="001109DE"/>
    <w:rsid w:val="00122B5E"/>
    <w:rsid w:val="001253B4"/>
    <w:rsid w:val="0013087F"/>
    <w:rsid w:val="00132B3F"/>
    <w:rsid w:val="0013427B"/>
    <w:rsid w:val="00137360"/>
    <w:rsid w:val="00137D08"/>
    <w:rsid w:val="00142F1E"/>
    <w:rsid w:val="00143B71"/>
    <w:rsid w:val="00146F26"/>
    <w:rsid w:val="0014781B"/>
    <w:rsid w:val="00147C09"/>
    <w:rsid w:val="0018047B"/>
    <w:rsid w:val="00180B3B"/>
    <w:rsid w:val="00183AEF"/>
    <w:rsid w:val="00190D71"/>
    <w:rsid w:val="001916ED"/>
    <w:rsid w:val="001952D6"/>
    <w:rsid w:val="001B6B2F"/>
    <w:rsid w:val="001C09C3"/>
    <w:rsid w:val="001C511B"/>
    <w:rsid w:val="001D0FCE"/>
    <w:rsid w:val="001D617E"/>
    <w:rsid w:val="001D7CF0"/>
    <w:rsid w:val="001E1995"/>
    <w:rsid w:val="001E276A"/>
    <w:rsid w:val="001E2B97"/>
    <w:rsid w:val="001E4DAB"/>
    <w:rsid w:val="00203CFB"/>
    <w:rsid w:val="0021236D"/>
    <w:rsid w:val="00216389"/>
    <w:rsid w:val="00240821"/>
    <w:rsid w:val="00241C60"/>
    <w:rsid w:val="00245EC0"/>
    <w:rsid w:val="00250578"/>
    <w:rsid w:val="0025329D"/>
    <w:rsid w:val="00255F17"/>
    <w:rsid w:val="00260759"/>
    <w:rsid w:val="00260D80"/>
    <w:rsid w:val="0027017A"/>
    <w:rsid w:val="00285FB2"/>
    <w:rsid w:val="00286834"/>
    <w:rsid w:val="00291D79"/>
    <w:rsid w:val="002949FD"/>
    <w:rsid w:val="00294FEC"/>
    <w:rsid w:val="00297677"/>
    <w:rsid w:val="002A2BFE"/>
    <w:rsid w:val="002A3F7C"/>
    <w:rsid w:val="002A4EC1"/>
    <w:rsid w:val="002A730C"/>
    <w:rsid w:val="002B0D6E"/>
    <w:rsid w:val="002C3185"/>
    <w:rsid w:val="002C40B2"/>
    <w:rsid w:val="002D5BC3"/>
    <w:rsid w:val="002E5371"/>
    <w:rsid w:val="002E6435"/>
    <w:rsid w:val="002E76C7"/>
    <w:rsid w:val="002F2BFB"/>
    <w:rsid w:val="00301A63"/>
    <w:rsid w:val="003140F9"/>
    <w:rsid w:val="003205EC"/>
    <w:rsid w:val="00322694"/>
    <w:rsid w:val="00324A19"/>
    <w:rsid w:val="00325B0F"/>
    <w:rsid w:val="00330768"/>
    <w:rsid w:val="00334F87"/>
    <w:rsid w:val="0033597D"/>
    <w:rsid w:val="00336E5F"/>
    <w:rsid w:val="00340C6C"/>
    <w:rsid w:val="00341A17"/>
    <w:rsid w:val="00346499"/>
    <w:rsid w:val="0035315A"/>
    <w:rsid w:val="0035415A"/>
    <w:rsid w:val="00354B2B"/>
    <w:rsid w:val="00355828"/>
    <w:rsid w:val="00357B5D"/>
    <w:rsid w:val="00360936"/>
    <w:rsid w:val="003623C0"/>
    <w:rsid w:val="00362DE9"/>
    <w:rsid w:val="0036390C"/>
    <w:rsid w:val="0037405E"/>
    <w:rsid w:val="00374075"/>
    <w:rsid w:val="00382315"/>
    <w:rsid w:val="0038346E"/>
    <w:rsid w:val="00386833"/>
    <w:rsid w:val="00386B3B"/>
    <w:rsid w:val="00393F10"/>
    <w:rsid w:val="003A202C"/>
    <w:rsid w:val="003A4F5B"/>
    <w:rsid w:val="003B0D2F"/>
    <w:rsid w:val="003B34A7"/>
    <w:rsid w:val="003B3B9C"/>
    <w:rsid w:val="003B428A"/>
    <w:rsid w:val="003B77DB"/>
    <w:rsid w:val="003C50B4"/>
    <w:rsid w:val="003D36B5"/>
    <w:rsid w:val="003D6D08"/>
    <w:rsid w:val="003E08D8"/>
    <w:rsid w:val="003E2486"/>
    <w:rsid w:val="003E346E"/>
    <w:rsid w:val="0040379F"/>
    <w:rsid w:val="00404914"/>
    <w:rsid w:val="00406E8A"/>
    <w:rsid w:val="004126BE"/>
    <w:rsid w:val="00414886"/>
    <w:rsid w:val="00415197"/>
    <w:rsid w:val="00430725"/>
    <w:rsid w:val="004311E7"/>
    <w:rsid w:val="00437731"/>
    <w:rsid w:val="00452D78"/>
    <w:rsid w:val="004535EF"/>
    <w:rsid w:val="00454C5D"/>
    <w:rsid w:val="004550FC"/>
    <w:rsid w:val="0046265B"/>
    <w:rsid w:val="004655AF"/>
    <w:rsid w:val="0047091B"/>
    <w:rsid w:val="00473324"/>
    <w:rsid w:val="00483171"/>
    <w:rsid w:val="004838EB"/>
    <w:rsid w:val="00483EC1"/>
    <w:rsid w:val="00484F33"/>
    <w:rsid w:val="00492DC1"/>
    <w:rsid w:val="00492E3C"/>
    <w:rsid w:val="004938EE"/>
    <w:rsid w:val="00493CF0"/>
    <w:rsid w:val="0049571C"/>
    <w:rsid w:val="00495D41"/>
    <w:rsid w:val="004A1248"/>
    <w:rsid w:val="004B7B0F"/>
    <w:rsid w:val="004C164A"/>
    <w:rsid w:val="004C3D21"/>
    <w:rsid w:val="004C4315"/>
    <w:rsid w:val="004C5B0D"/>
    <w:rsid w:val="004C6544"/>
    <w:rsid w:val="004D17A3"/>
    <w:rsid w:val="004D1EE0"/>
    <w:rsid w:val="004D3B8E"/>
    <w:rsid w:val="004D5D80"/>
    <w:rsid w:val="004D727C"/>
    <w:rsid w:val="004D7DA4"/>
    <w:rsid w:val="004F7299"/>
    <w:rsid w:val="00506018"/>
    <w:rsid w:val="0050769E"/>
    <w:rsid w:val="005179C0"/>
    <w:rsid w:val="00523183"/>
    <w:rsid w:val="005258B3"/>
    <w:rsid w:val="0053004D"/>
    <w:rsid w:val="00536EFD"/>
    <w:rsid w:val="00542C7C"/>
    <w:rsid w:val="00546C2A"/>
    <w:rsid w:val="00547282"/>
    <w:rsid w:val="00552AB7"/>
    <w:rsid w:val="00552EA3"/>
    <w:rsid w:val="00554523"/>
    <w:rsid w:val="00556A46"/>
    <w:rsid w:val="005678AA"/>
    <w:rsid w:val="00567EB1"/>
    <w:rsid w:val="00570611"/>
    <w:rsid w:val="005725D2"/>
    <w:rsid w:val="005740EF"/>
    <w:rsid w:val="00574960"/>
    <w:rsid w:val="00576F92"/>
    <w:rsid w:val="00577069"/>
    <w:rsid w:val="005773E2"/>
    <w:rsid w:val="00581CF1"/>
    <w:rsid w:val="00585863"/>
    <w:rsid w:val="0059400D"/>
    <w:rsid w:val="005A03B0"/>
    <w:rsid w:val="005A1694"/>
    <w:rsid w:val="005A699A"/>
    <w:rsid w:val="005B41FD"/>
    <w:rsid w:val="005C33E0"/>
    <w:rsid w:val="005C728F"/>
    <w:rsid w:val="005D2FC7"/>
    <w:rsid w:val="005D753F"/>
    <w:rsid w:val="005D7A59"/>
    <w:rsid w:val="005E56DD"/>
    <w:rsid w:val="005F3454"/>
    <w:rsid w:val="00600D66"/>
    <w:rsid w:val="00603117"/>
    <w:rsid w:val="00604603"/>
    <w:rsid w:val="006070FC"/>
    <w:rsid w:val="00611830"/>
    <w:rsid w:val="0061544F"/>
    <w:rsid w:val="00621528"/>
    <w:rsid w:val="006277F4"/>
    <w:rsid w:val="006339D4"/>
    <w:rsid w:val="00634BC0"/>
    <w:rsid w:val="00644B00"/>
    <w:rsid w:val="0066052E"/>
    <w:rsid w:val="00664ED5"/>
    <w:rsid w:val="00665330"/>
    <w:rsid w:val="00666920"/>
    <w:rsid w:val="00672198"/>
    <w:rsid w:val="00672365"/>
    <w:rsid w:val="0068149F"/>
    <w:rsid w:val="00685681"/>
    <w:rsid w:val="006863BF"/>
    <w:rsid w:val="0069095C"/>
    <w:rsid w:val="00691DD7"/>
    <w:rsid w:val="00692D4E"/>
    <w:rsid w:val="0069631C"/>
    <w:rsid w:val="006A2B1D"/>
    <w:rsid w:val="006A4F79"/>
    <w:rsid w:val="006A5722"/>
    <w:rsid w:val="006B2964"/>
    <w:rsid w:val="006B39CD"/>
    <w:rsid w:val="006C2A3F"/>
    <w:rsid w:val="006C3300"/>
    <w:rsid w:val="006D0D82"/>
    <w:rsid w:val="006D1001"/>
    <w:rsid w:val="006D1DC4"/>
    <w:rsid w:val="006D6294"/>
    <w:rsid w:val="006D7D86"/>
    <w:rsid w:val="006E4984"/>
    <w:rsid w:val="006E63F3"/>
    <w:rsid w:val="006F1D5C"/>
    <w:rsid w:val="006F24C2"/>
    <w:rsid w:val="006F3ADE"/>
    <w:rsid w:val="006F48D4"/>
    <w:rsid w:val="006F780D"/>
    <w:rsid w:val="00700FB4"/>
    <w:rsid w:val="00704D95"/>
    <w:rsid w:val="00711586"/>
    <w:rsid w:val="0071539C"/>
    <w:rsid w:val="00716CAF"/>
    <w:rsid w:val="0072100C"/>
    <w:rsid w:val="00721F78"/>
    <w:rsid w:val="007224E3"/>
    <w:rsid w:val="00730366"/>
    <w:rsid w:val="007323B7"/>
    <w:rsid w:val="007326AC"/>
    <w:rsid w:val="00734C22"/>
    <w:rsid w:val="0073591E"/>
    <w:rsid w:val="00736BDD"/>
    <w:rsid w:val="0074430C"/>
    <w:rsid w:val="00745D52"/>
    <w:rsid w:val="00767A8C"/>
    <w:rsid w:val="007712F8"/>
    <w:rsid w:val="00771641"/>
    <w:rsid w:val="00774408"/>
    <w:rsid w:val="007770FF"/>
    <w:rsid w:val="00781B64"/>
    <w:rsid w:val="00783C94"/>
    <w:rsid w:val="00786735"/>
    <w:rsid w:val="007901AE"/>
    <w:rsid w:val="00791245"/>
    <w:rsid w:val="007924F1"/>
    <w:rsid w:val="007A1035"/>
    <w:rsid w:val="007A6A55"/>
    <w:rsid w:val="007B2D8B"/>
    <w:rsid w:val="007B351D"/>
    <w:rsid w:val="007C1349"/>
    <w:rsid w:val="007C45AB"/>
    <w:rsid w:val="007C56D6"/>
    <w:rsid w:val="007D1BBF"/>
    <w:rsid w:val="007D4047"/>
    <w:rsid w:val="007D54C0"/>
    <w:rsid w:val="007D7055"/>
    <w:rsid w:val="007E1D2D"/>
    <w:rsid w:val="007E5BC8"/>
    <w:rsid w:val="00814196"/>
    <w:rsid w:val="0082445C"/>
    <w:rsid w:val="00824CDB"/>
    <w:rsid w:val="00826D17"/>
    <w:rsid w:val="00827CB8"/>
    <w:rsid w:val="00827F72"/>
    <w:rsid w:val="00834ABF"/>
    <w:rsid w:val="00847EBA"/>
    <w:rsid w:val="00850305"/>
    <w:rsid w:val="008513C0"/>
    <w:rsid w:val="00866C6F"/>
    <w:rsid w:val="00871390"/>
    <w:rsid w:val="008716E6"/>
    <w:rsid w:val="00872822"/>
    <w:rsid w:val="00872F24"/>
    <w:rsid w:val="00885177"/>
    <w:rsid w:val="00890A4E"/>
    <w:rsid w:val="00897FAC"/>
    <w:rsid w:val="008A5EA7"/>
    <w:rsid w:val="008A6E57"/>
    <w:rsid w:val="008B7E67"/>
    <w:rsid w:val="008C49F7"/>
    <w:rsid w:val="008D5CA3"/>
    <w:rsid w:val="008E283C"/>
    <w:rsid w:val="008F20CF"/>
    <w:rsid w:val="00905D27"/>
    <w:rsid w:val="0090702F"/>
    <w:rsid w:val="009158B3"/>
    <w:rsid w:val="00923F99"/>
    <w:rsid w:val="009273D9"/>
    <w:rsid w:val="00931762"/>
    <w:rsid w:val="00932163"/>
    <w:rsid w:val="00936C75"/>
    <w:rsid w:val="0094774A"/>
    <w:rsid w:val="00952783"/>
    <w:rsid w:val="00957421"/>
    <w:rsid w:val="00957C62"/>
    <w:rsid w:val="00961002"/>
    <w:rsid w:val="00992313"/>
    <w:rsid w:val="00994BDA"/>
    <w:rsid w:val="009A1E08"/>
    <w:rsid w:val="009A3510"/>
    <w:rsid w:val="009A72E2"/>
    <w:rsid w:val="009B7FD6"/>
    <w:rsid w:val="009C5211"/>
    <w:rsid w:val="009C71C7"/>
    <w:rsid w:val="009D1904"/>
    <w:rsid w:val="009D6A3D"/>
    <w:rsid w:val="009E2367"/>
    <w:rsid w:val="009E284D"/>
    <w:rsid w:val="009E58AE"/>
    <w:rsid w:val="009E76AB"/>
    <w:rsid w:val="009F49A1"/>
    <w:rsid w:val="009F7F7B"/>
    <w:rsid w:val="00A0114F"/>
    <w:rsid w:val="00A023B0"/>
    <w:rsid w:val="00A114D1"/>
    <w:rsid w:val="00A12FE6"/>
    <w:rsid w:val="00A20EA2"/>
    <w:rsid w:val="00A267DD"/>
    <w:rsid w:val="00A324B0"/>
    <w:rsid w:val="00A46E49"/>
    <w:rsid w:val="00A47788"/>
    <w:rsid w:val="00A50A4C"/>
    <w:rsid w:val="00A51370"/>
    <w:rsid w:val="00A541AF"/>
    <w:rsid w:val="00A5690C"/>
    <w:rsid w:val="00A57A07"/>
    <w:rsid w:val="00A6275F"/>
    <w:rsid w:val="00A7367D"/>
    <w:rsid w:val="00A737C7"/>
    <w:rsid w:val="00A74E7F"/>
    <w:rsid w:val="00A75EE6"/>
    <w:rsid w:val="00A76301"/>
    <w:rsid w:val="00A96076"/>
    <w:rsid w:val="00A97A53"/>
    <w:rsid w:val="00AA181C"/>
    <w:rsid w:val="00AA188C"/>
    <w:rsid w:val="00AA726D"/>
    <w:rsid w:val="00AC0C3E"/>
    <w:rsid w:val="00AC1AC8"/>
    <w:rsid w:val="00AC3243"/>
    <w:rsid w:val="00AC4C88"/>
    <w:rsid w:val="00AC4E7F"/>
    <w:rsid w:val="00AC53F4"/>
    <w:rsid w:val="00AD35FA"/>
    <w:rsid w:val="00AD583B"/>
    <w:rsid w:val="00AE16C3"/>
    <w:rsid w:val="00AE38FC"/>
    <w:rsid w:val="00AE52ED"/>
    <w:rsid w:val="00AE657D"/>
    <w:rsid w:val="00B03810"/>
    <w:rsid w:val="00B07689"/>
    <w:rsid w:val="00B148D1"/>
    <w:rsid w:val="00B23230"/>
    <w:rsid w:val="00B24F9C"/>
    <w:rsid w:val="00B273C2"/>
    <w:rsid w:val="00B461E8"/>
    <w:rsid w:val="00B53DD5"/>
    <w:rsid w:val="00B56C90"/>
    <w:rsid w:val="00B61292"/>
    <w:rsid w:val="00B7075D"/>
    <w:rsid w:val="00B720A3"/>
    <w:rsid w:val="00B72B96"/>
    <w:rsid w:val="00B80C9E"/>
    <w:rsid w:val="00B87088"/>
    <w:rsid w:val="00B87D5E"/>
    <w:rsid w:val="00B91747"/>
    <w:rsid w:val="00B917EB"/>
    <w:rsid w:val="00BA4539"/>
    <w:rsid w:val="00BA485B"/>
    <w:rsid w:val="00BB5DC0"/>
    <w:rsid w:val="00BC15F6"/>
    <w:rsid w:val="00BC1A1E"/>
    <w:rsid w:val="00BC6D7A"/>
    <w:rsid w:val="00BD565B"/>
    <w:rsid w:val="00BF0393"/>
    <w:rsid w:val="00BF247E"/>
    <w:rsid w:val="00BF300A"/>
    <w:rsid w:val="00BF46BE"/>
    <w:rsid w:val="00C02F70"/>
    <w:rsid w:val="00C06592"/>
    <w:rsid w:val="00C10B7F"/>
    <w:rsid w:val="00C300A3"/>
    <w:rsid w:val="00C33516"/>
    <w:rsid w:val="00C42B11"/>
    <w:rsid w:val="00C47D42"/>
    <w:rsid w:val="00C53505"/>
    <w:rsid w:val="00C53E82"/>
    <w:rsid w:val="00C55BE2"/>
    <w:rsid w:val="00C6128E"/>
    <w:rsid w:val="00C63145"/>
    <w:rsid w:val="00C76C83"/>
    <w:rsid w:val="00C82D0B"/>
    <w:rsid w:val="00C84208"/>
    <w:rsid w:val="00C84A17"/>
    <w:rsid w:val="00C84AE1"/>
    <w:rsid w:val="00C92321"/>
    <w:rsid w:val="00C9339D"/>
    <w:rsid w:val="00C95C92"/>
    <w:rsid w:val="00C961C0"/>
    <w:rsid w:val="00CA24BF"/>
    <w:rsid w:val="00CA6454"/>
    <w:rsid w:val="00CA764C"/>
    <w:rsid w:val="00CA77C3"/>
    <w:rsid w:val="00CA7C3E"/>
    <w:rsid w:val="00CB1314"/>
    <w:rsid w:val="00CB31ED"/>
    <w:rsid w:val="00CB632A"/>
    <w:rsid w:val="00CC0E74"/>
    <w:rsid w:val="00CD3954"/>
    <w:rsid w:val="00CE1982"/>
    <w:rsid w:val="00CE390A"/>
    <w:rsid w:val="00CE66BF"/>
    <w:rsid w:val="00CE67C1"/>
    <w:rsid w:val="00CF45B3"/>
    <w:rsid w:val="00D04AEC"/>
    <w:rsid w:val="00D051C9"/>
    <w:rsid w:val="00D10877"/>
    <w:rsid w:val="00D141E9"/>
    <w:rsid w:val="00D15124"/>
    <w:rsid w:val="00D15301"/>
    <w:rsid w:val="00D17346"/>
    <w:rsid w:val="00D17595"/>
    <w:rsid w:val="00D2241F"/>
    <w:rsid w:val="00D24D39"/>
    <w:rsid w:val="00D26E8B"/>
    <w:rsid w:val="00D2771D"/>
    <w:rsid w:val="00D45558"/>
    <w:rsid w:val="00D50544"/>
    <w:rsid w:val="00D50F55"/>
    <w:rsid w:val="00D52198"/>
    <w:rsid w:val="00D53530"/>
    <w:rsid w:val="00D61CE9"/>
    <w:rsid w:val="00D6498D"/>
    <w:rsid w:val="00D66412"/>
    <w:rsid w:val="00D76F8A"/>
    <w:rsid w:val="00D778CA"/>
    <w:rsid w:val="00D81E2E"/>
    <w:rsid w:val="00D928E0"/>
    <w:rsid w:val="00D94514"/>
    <w:rsid w:val="00D94AB4"/>
    <w:rsid w:val="00DA1A4F"/>
    <w:rsid w:val="00DA286E"/>
    <w:rsid w:val="00DB15DE"/>
    <w:rsid w:val="00DB283C"/>
    <w:rsid w:val="00DB4A23"/>
    <w:rsid w:val="00DD24A5"/>
    <w:rsid w:val="00DD3277"/>
    <w:rsid w:val="00DD491D"/>
    <w:rsid w:val="00DD579E"/>
    <w:rsid w:val="00DD6D24"/>
    <w:rsid w:val="00DD7702"/>
    <w:rsid w:val="00DE4EB9"/>
    <w:rsid w:val="00DF6A0A"/>
    <w:rsid w:val="00E01550"/>
    <w:rsid w:val="00E06F58"/>
    <w:rsid w:val="00E10BB8"/>
    <w:rsid w:val="00E177C8"/>
    <w:rsid w:val="00E40CE1"/>
    <w:rsid w:val="00E41117"/>
    <w:rsid w:val="00E420DE"/>
    <w:rsid w:val="00E4250B"/>
    <w:rsid w:val="00E42879"/>
    <w:rsid w:val="00E46BF4"/>
    <w:rsid w:val="00E51102"/>
    <w:rsid w:val="00E55698"/>
    <w:rsid w:val="00E5577B"/>
    <w:rsid w:val="00E57A25"/>
    <w:rsid w:val="00E60EDC"/>
    <w:rsid w:val="00E61A6E"/>
    <w:rsid w:val="00E656F9"/>
    <w:rsid w:val="00E65E74"/>
    <w:rsid w:val="00E74AA8"/>
    <w:rsid w:val="00E93584"/>
    <w:rsid w:val="00E93824"/>
    <w:rsid w:val="00E93C06"/>
    <w:rsid w:val="00E95617"/>
    <w:rsid w:val="00E95EE9"/>
    <w:rsid w:val="00E967BE"/>
    <w:rsid w:val="00EA5C82"/>
    <w:rsid w:val="00EB182E"/>
    <w:rsid w:val="00EC3A86"/>
    <w:rsid w:val="00ED359B"/>
    <w:rsid w:val="00ED3ADC"/>
    <w:rsid w:val="00ED3F4E"/>
    <w:rsid w:val="00ED42B2"/>
    <w:rsid w:val="00EE6026"/>
    <w:rsid w:val="00F0199C"/>
    <w:rsid w:val="00F0432B"/>
    <w:rsid w:val="00F051D7"/>
    <w:rsid w:val="00F079ED"/>
    <w:rsid w:val="00F12AFD"/>
    <w:rsid w:val="00F14429"/>
    <w:rsid w:val="00F150C3"/>
    <w:rsid w:val="00F17DFA"/>
    <w:rsid w:val="00F25A98"/>
    <w:rsid w:val="00F26BB4"/>
    <w:rsid w:val="00F3091A"/>
    <w:rsid w:val="00F34E30"/>
    <w:rsid w:val="00F439CD"/>
    <w:rsid w:val="00F5108D"/>
    <w:rsid w:val="00F51997"/>
    <w:rsid w:val="00F51D94"/>
    <w:rsid w:val="00F52DA7"/>
    <w:rsid w:val="00F53998"/>
    <w:rsid w:val="00F60047"/>
    <w:rsid w:val="00F671F6"/>
    <w:rsid w:val="00F70DBF"/>
    <w:rsid w:val="00F77AE4"/>
    <w:rsid w:val="00F80172"/>
    <w:rsid w:val="00F843D1"/>
    <w:rsid w:val="00F86323"/>
    <w:rsid w:val="00F923E5"/>
    <w:rsid w:val="00FA1F30"/>
    <w:rsid w:val="00FA657B"/>
    <w:rsid w:val="00FB0FE5"/>
    <w:rsid w:val="00FB128A"/>
    <w:rsid w:val="00FB2406"/>
    <w:rsid w:val="00FB717F"/>
    <w:rsid w:val="00FD23DA"/>
    <w:rsid w:val="00FD287D"/>
    <w:rsid w:val="00FE0542"/>
    <w:rsid w:val="00FF3D2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chartTrackingRefBased/>
  <w15:docId w15:val="{EBB6AA31-71FC-4227-93D4-095BA161F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3C2"/>
    <w:rPr>
      <w:rFonts w:ascii="HebarU" w:hAnsi="HebarU"/>
      <w:sz w:val="24"/>
      <w:lang w:eastAsia="en-US"/>
    </w:rPr>
  </w:style>
  <w:style w:type="paragraph" w:styleId="Heading1">
    <w:name w:val="heading 1"/>
    <w:basedOn w:val="Normal"/>
    <w:next w:val="Normal"/>
    <w:link w:val="Heading1Char"/>
    <w:qFormat/>
    <w:rsid w:val="00E967BE"/>
    <w:pPr>
      <w:keepNext/>
      <w:spacing w:before="240" w:after="60"/>
      <w:outlineLvl w:val="0"/>
    </w:pPr>
    <w:rPr>
      <w:rFonts w:ascii="Arial" w:hAnsi="Arial" w:cs="Arial"/>
      <w:b/>
      <w:bCs/>
      <w:kern w:val="32"/>
      <w:sz w:val="32"/>
      <w:szCs w:val="32"/>
      <w:lang w:eastAsia="bg-BG"/>
    </w:rPr>
  </w:style>
  <w:style w:type="paragraph" w:styleId="Heading2">
    <w:name w:val="heading 2"/>
    <w:basedOn w:val="Normal"/>
    <w:next w:val="Normal"/>
    <w:qFormat/>
    <w:rsid w:val="0046265B"/>
    <w:pPr>
      <w:keepNext/>
      <w:spacing w:before="240" w:after="60"/>
      <w:outlineLvl w:val="1"/>
    </w:pPr>
    <w:rPr>
      <w:rFonts w:ascii="Arial" w:hAnsi="Arial" w:cs="Arial"/>
      <w:b/>
      <w:bCs/>
      <w:i/>
      <w:iCs/>
      <w:sz w:val="28"/>
      <w:szCs w:val="28"/>
      <w:lang w:eastAsia="bg-BG"/>
    </w:rPr>
  </w:style>
  <w:style w:type="paragraph" w:styleId="Heading3">
    <w:name w:val="heading 3"/>
    <w:basedOn w:val="Normal"/>
    <w:next w:val="Normal"/>
    <w:qFormat/>
    <w:rsid w:val="002A730C"/>
    <w:pPr>
      <w:keepNext/>
      <w:spacing w:before="240" w:after="60"/>
      <w:outlineLvl w:val="2"/>
    </w:pPr>
    <w:rPr>
      <w:rFonts w:ascii="Arial" w:hAnsi="Arial" w:cs="Arial"/>
      <w:b/>
      <w:bCs/>
      <w:sz w:val="26"/>
      <w:szCs w:val="26"/>
      <w:lang w:eastAsia="bg-BG"/>
    </w:rPr>
  </w:style>
  <w:style w:type="paragraph" w:styleId="Heading7">
    <w:name w:val="heading 7"/>
    <w:basedOn w:val="Normal"/>
    <w:next w:val="Normal"/>
    <w:qFormat/>
    <w:rsid w:val="00B273C2"/>
    <w:pPr>
      <w:keepNext/>
      <w:pBdr>
        <w:bottom w:val="single" w:sz="6" w:space="1" w:color="auto"/>
      </w:pBdr>
      <w:jc w:val="center"/>
      <w:outlineLvl w:val="6"/>
    </w:pPr>
    <w:rPr>
      <w:rFonts w:ascii="Times New Roman" w:hAnsi="Times New Roman"/>
      <w:b/>
      <w:spacing w:val="300"/>
      <w:kern w:val="14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73C2"/>
    <w:pPr>
      <w:tabs>
        <w:tab w:val="center" w:pos="4153"/>
        <w:tab w:val="right" w:pos="8306"/>
      </w:tabs>
    </w:pPr>
  </w:style>
  <w:style w:type="paragraph" w:styleId="Footer">
    <w:name w:val="footer"/>
    <w:basedOn w:val="Normal"/>
    <w:rsid w:val="00B273C2"/>
    <w:pPr>
      <w:tabs>
        <w:tab w:val="center" w:pos="4153"/>
        <w:tab w:val="right" w:pos="8306"/>
      </w:tabs>
    </w:pPr>
  </w:style>
  <w:style w:type="paragraph" w:styleId="Caption">
    <w:name w:val="caption"/>
    <w:basedOn w:val="Normal"/>
    <w:next w:val="Normal"/>
    <w:qFormat/>
    <w:rsid w:val="00B273C2"/>
    <w:pPr>
      <w:spacing w:before="20" w:after="20"/>
      <w:jc w:val="center"/>
    </w:pPr>
    <w:rPr>
      <w:rFonts w:ascii="Times New Roman" w:hAnsi="Times New Roman"/>
      <w:b/>
      <w:caps/>
      <w:sz w:val="22"/>
    </w:rPr>
  </w:style>
  <w:style w:type="character" w:styleId="PageNumber">
    <w:name w:val="page number"/>
    <w:basedOn w:val="DefaultParagraphFont"/>
    <w:rsid w:val="00B273C2"/>
  </w:style>
  <w:style w:type="paragraph" w:customStyle="1" w:styleId="CharCharCharCharCharCharChar">
    <w:name w:val="Char Char Знак Знак Char Знак Знак Char Char Char Знак Знак Char"/>
    <w:basedOn w:val="Normal"/>
    <w:rsid w:val="00012C31"/>
    <w:pPr>
      <w:tabs>
        <w:tab w:val="left" w:pos="709"/>
      </w:tabs>
    </w:pPr>
    <w:rPr>
      <w:rFonts w:ascii="Tahoma" w:hAnsi="Tahoma"/>
      <w:szCs w:val="24"/>
      <w:lang w:val="pl-PL" w:eastAsia="pl-PL"/>
    </w:rPr>
  </w:style>
  <w:style w:type="character" w:customStyle="1" w:styleId="nomark">
    <w:name w:val="nomark"/>
    <w:basedOn w:val="DefaultParagraphFont"/>
    <w:rsid w:val="00012C31"/>
  </w:style>
  <w:style w:type="table" w:styleId="TableGrid">
    <w:name w:val="Table Grid"/>
    <w:basedOn w:val="TableNormal"/>
    <w:rsid w:val="00495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F52DA7"/>
    <w:pPr>
      <w:tabs>
        <w:tab w:val="left" w:pos="709"/>
      </w:tabs>
    </w:pPr>
    <w:rPr>
      <w:rFonts w:ascii="Futura Bk" w:hAnsi="Futura Bk"/>
      <w:noProof/>
      <w:sz w:val="20"/>
      <w:szCs w:val="24"/>
      <w:lang w:val="pl-PL" w:eastAsia="pl-PL"/>
    </w:rPr>
  </w:style>
  <w:style w:type="paragraph" w:styleId="BalloonText">
    <w:name w:val="Balloon Text"/>
    <w:basedOn w:val="Normal"/>
    <w:semiHidden/>
    <w:rsid w:val="00ED42B2"/>
    <w:rPr>
      <w:rFonts w:ascii="Tahoma" w:hAnsi="Tahoma" w:cs="Tahoma"/>
      <w:sz w:val="16"/>
      <w:szCs w:val="16"/>
    </w:rPr>
  </w:style>
  <w:style w:type="paragraph" w:styleId="BodyText3">
    <w:name w:val="Body Text 3"/>
    <w:basedOn w:val="Normal"/>
    <w:rsid w:val="002A730C"/>
    <w:rPr>
      <w:rFonts w:ascii="Times New Roman" w:hAnsi="Times New Roman"/>
      <w:b/>
      <w:i/>
      <w:color w:val="0000FF"/>
      <w:sz w:val="22"/>
      <w:szCs w:val="24"/>
      <w:lang w:eastAsia="bg-BG"/>
    </w:rPr>
  </w:style>
  <w:style w:type="character" w:styleId="CommentReference">
    <w:name w:val="annotation reference"/>
    <w:rsid w:val="009D6A3D"/>
    <w:rPr>
      <w:sz w:val="16"/>
      <w:szCs w:val="16"/>
    </w:rPr>
  </w:style>
  <w:style w:type="paragraph" w:styleId="CommentText">
    <w:name w:val="annotation text"/>
    <w:basedOn w:val="Normal"/>
    <w:link w:val="CommentTextChar"/>
    <w:rsid w:val="009D6A3D"/>
    <w:rPr>
      <w:sz w:val="20"/>
      <w:lang w:eastAsia="x-none"/>
    </w:rPr>
  </w:style>
  <w:style w:type="character" w:customStyle="1" w:styleId="CommentTextChar">
    <w:name w:val="Comment Text Char"/>
    <w:link w:val="CommentText"/>
    <w:rsid w:val="009D6A3D"/>
    <w:rPr>
      <w:rFonts w:ascii="HebarU" w:hAnsi="HebarU"/>
      <w:lang w:val="bg-BG"/>
    </w:rPr>
  </w:style>
  <w:style w:type="paragraph" w:styleId="CommentSubject">
    <w:name w:val="annotation subject"/>
    <w:basedOn w:val="CommentText"/>
    <w:next w:val="CommentText"/>
    <w:link w:val="CommentSubjectChar"/>
    <w:rsid w:val="009D6A3D"/>
    <w:rPr>
      <w:b/>
      <w:bCs/>
    </w:rPr>
  </w:style>
  <w:style w:type="character" w:customStyle="1" w:styleId="CommentSubjectChar">
    <w:name w:val="Comment Subject Char"/>
    <w:link w:val="CommentSubject"/>
    <w:rsid w:val="009D6A3D"/>
    <w:rPr>
      <w:rFonts w:ascii="HebarU" w:hAnsi="HebarU"/>
      <w:b/>
      <w:bCs/>
      <w:lang w:val="bg-BG"/>
    </w:rPr>
  </w:style>
  <w:style w:type="character" w:styleId="Hyperlink">
    <w:name w:val="Hyperlink"/>
    <w:rsid w:val="00483EC1"/>
    <w:rPr>
      <w:color w:val="0000FF"/>
      <w:u w:val="single"/>
    </w:rPr>
  </w:style>
  <w:style w:type="paragraph" w:styleId="Title">
    <w:name w:val="Title"/>
    <w:basedOn w:val="Normal"/>
    <w:qFormat/>
    <w:rsid w:val="00BA485B"/>
    <w:pPr>
      <w:jc w:val="center"/>
    </w:pPr>
    <w:rPr>
      <w:rFonts w:ascii="Times New Roman" w:hAnsi="Times New Roman"/>
      <w:b/>
      <w:sz w:val="28"/>
    </w:rPr>
  </w:style>
  <w:style w:type="character" w:customStyle="1" w:styleId="HeaderChar">
    <w:name w:val="Header Char"/>
    <w:link w:val="Header"/>
    <w:rsid w:val="007712F8"/>
    <w:rPr>
      <w:rFonts w:ascii="HebarU" w:hAnsi="HebarU"/>
      <w:sz w:val="24"/>
      <w:lang w:val="bg-BG" w:eastAsia="en-US" w:bidi="ar-SA"/>
    </w:rPr>
  </w:style>
  <w:style w:type="paragraph" w:customStyle="1" w:styleId="Default">
    <w:name w:val="Default"/>
    <w:rsid w:val="002A3F7C"/>
    <w:pPr>
      <w:autoSpaceDE w:val="0"/>
      <w:autoSpaceDN w:val="0"/>
      <w:adjustRightInd w:val="0"/>
    </w:pPr>
    <w:rPr>
      <w:color w:val="000000"/>
      <w:sz w:val="24"/>
      <w:szCs w:val="24"/>
    </w:rPr>
  </w:style>
  <w:style w:type="paragraph" w:styleId="ListParagraph">
    <w:name w:val="List Paragraph"/>
    <w:basedOn w:val="Normal"/>
    <w:uiPriority w:val="34"/>
    <w:qFormat/>
    <w:rsid w:val="00C76C83"/>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783C94"/>
  </w:style>
  <w:style w:type="paragraph" w:customStyle="1" w:styleId="a">
    <w:name w:val="Списък на абзаци"/>
    <w:basedOn w:val="Normal"/>
    <w:qFormat/>
    <w:rsid w:val="00386833"/>
    <w:pPr>
      <w:ind w:left="720"/>
      <w:contextualSpacing/>
    </w:pPr>
    <w:rPr>
      <w:rFonts w:ascii="Times New Roman" w:hAnsi="Times New Roman"/>
      <w:lang w:val="en-US"/>
    </w:rPr>
  </w:style>
  <w:style w:type="paragraph" w:customStyle="1" w:styleId="CharChar1CharChar">
    <w:name w:val="Char Char1 Char Char"/>
    <w:basedOn w:val="Normal"/>
    <w:rsid w:val="00386833"/>
    <w:pPr>
      <w:tabs>
        <w:tab w:val="left" w:pos="709"/>
      </w:tabs>
    </w:pPr>
    <w:rPr>
      <w:rFonts w:ascii="Tahoma" w:hAnsi="Tahoma"/>
      <w:szCs w:val="24"/>
      <w:lang w:val="pl-PL" w:eastAsia="pl-PL"/>
    </w:rPr>
  </w:style>
  <w:style w:type="character" w:customStyle="1" w:styleId="Heading1Char">
    <w:name w:val="Heading 1 Char"/>
    <w:basedOn w:val="DefaultParagraphFont"/>
    <w:link w:val="Heading1"/>
    <w:rsid w:val="00E967BE"/>
    <w:rPr>
      <w:rFonts w:ascii="Arial" w:hAnsi="Arial" w:cs="Arial"/>
      <w:b/>
      <w:bCs/>
      <w:kern w:val="32"/>
      <w:sz w:val="32"/>
      <w:szCs w:val="32"/>
    </w:rPr>
  </w:style>
  <w:style w:type="character" w:customStyle="1" w:styleId="filled-value">
    <w:name w:val="filled-value"/>
    <w:basedOn w:val="DefaultParagraphFont"/>
    <w:rsid w:val="00E967BE"/>
    <w:rPr>
      <w:rFonts w:cs="Times New Roman"/>
    </w:rPr>
  </w:style>
  <w:style w:type="character" w:styleId="Strong">
    <w:name w:val="Strong"/>
    <w:basedOn w:val="DefaultParagraphFont"/>
    <w:uiPriority w:val="22"/>
    <w:qFormat/>
    <w:rsid w:val="00D141E9"/>
    <w:rPr>
      <w:b/>
      <w:bCs/>
    </w:rPr>
  </w:style>
  <w:style w:type="character" w:customStyle="1" w:styleId="Bodytext">
    <w:name w:val="Body text_"/>
    <w:basedOn w:val="DefaultParagraphFont"/>
    <w:link w:val="BodyText7"/>
    <w:rsid w:val="00F86323"/>
    <w:rPr>
      <w:sz w:val="23"/>
      <w:szCs w:val="23"/>
      <w:shd w:val="clear" w:color="auto" w:fill="FFFFFF"/>
    </w:rPr>
  </w:style>
  <w:style w:type="character" w:customStyle="1" w:styleId="Bodytext10">
    <w:name w:val="Body text (10)_"/>
    <w:basedOn w:val="DefaultParagraphFont"/>
    <w:link w:val="Bodytext100"/>
    <w:rsid w:val="00F86323"/>
    <w:rPr>
      <w:sz w:val="23"/>
      <w:szCs w:val="23"/>
      <w:shd w:val="clear" w:color="auto" w:fill="FFFFFF"/>
    </w:rPr>
  </w:style>
  <w:style w:type="character" w:customStyle="1" w:styleId="BodytextBold">
    <w:name w:val="Body text + Bold"/>
    <w:basedOn w:val="Bodytext"/>
    <w:rsid w:val="00F86323"/>
    <w:rPr>
      <w:b/>
      <w:bCs/>
      <w:sz w:val="23"/>
      <w:szCs w:val="23"/>
      <w:shd w:val="clear" w:color="auto" w:fill="FFFFFF"/>
    </w:rPr>
  </w:style>
  <w:style w:type="character" w:customStyle="1" w:styleId="Bodytext18">
    <w:name w:val="Body text (18)"/>
    <w:basedOn w:val="DefaultParagraphFont"/>
    <w:rsid w:val="00F8632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6">
    <w:name w:val="Body text (6)"/>
    <w:basedOn w:val="DefaultParagraphFont"/>
    <w:rsid w:val="00F86323"/>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BodyText7">
    <w:name w:val="Body Text7"/>
    <w:basedOn w:val="Normal"/>
    <w:link w:val="Bodytext"/>
    <w:rsid w:val="00F86323"/>
    <w:pPr>
      <w:shd w:val="clear" w:color="auto" w:fill="FFFFFF"/>
      <w:spacing w:line="277" w:lineRule="exact"/>
      <w:ind w:hanging="400"/>
    </w:pPr>
    <w:rPr>
      <w:rFonts w:ascii="Times New Roman" w:hAnsi="Times New Roman"/>
      <w:sz w:val="23"/>
      <w:szCs w:val="23"/>
      <w:lang w:eastAsia="bg-BG"/>
    </w:rPr>
  </w:style>
  <w:style w:type="paragraph" w:customStyle="1" w:styleId="Bodytext100">
    <w:name w:val="Body text (10)"/>
    <w:basedOn w:val="Normal"/>
    <w:link w:val="Bodytext10"/>
    <w:rsid w:val="00F86323"/>
    <w:pPr>
      <w:shd w:val="clear" w:color="auto" w:fill="FFFFFF"/>
      <w:spacing w:line="0" w:lineRule="atLeast"/>
    </w:pPr>
    <w:rPr>
      <w:rFonts w:ascii="Times New Roman" w:hAnsi="Times New Roman"/>
      <w:sz w:val="23"/>
      <w:szCs w:val="23"/>
      <w:lang w:eastAsia="bg-BG"/>
    </w:rPr>
  </w:style>
  <w:style w:type="character" w:customStyle="1" w:styleId="Bodytext60">
    <w:name w:val="Body text (6)_"/>
    <w:basedOn w:val="DefaultParagraphFont"/>
    <w:rsid w:val="00F86323"/>
    <w:rPr>
      <w:rFonts w:ascii="Times New Roman" w:eastAsia="Times New Roman" w:hAnsi="Times New Roman" w:cs="Times New Roman"/>
      <w:b w:val="0"/>
      <w:bCs w:val="0"/>
      <w:i w:val="0"/>
      <w:iCs w:val="0"/>
      <w:smallCaps w:val="0"/>
      <w:strike w:val="0"/>
      <w:spacing w:val="0"/>
      <w:sz w:val="23"/>
      <w:szCs w:val="23"/>
    </w:rPr>
  </w:style>
  <w:style w:type="character" w:customStyle="1" w:styleId="Bodytext11">
    <w:name w:val="Body text (11)_"/>
    <w:basedOn w:val="DefaultParagraphFont"/>
    <w:link w:val="Bodytext110"/>
    <w:rsid w:val="0035415A"/>
    <w:rPr>
      <w:sz w:val="23"/>
      <w:szCs w:val="23"/>
      <w:shd w:val="clear" w:color="auto" w:fill="FFFFFF"/>
    </w:rPr>
  </w:style>
  <w:style w:type="character" w:customStyle="1" w:styleId="Bodytext6Italic">
    <w:name w:val="Body text (6) + Italic"/>
    <w:basedOn w:val="Bodytext60"/>
    <w:rsid w:val="0035415A"/>
    <w:rPr>
      <w:rFonts w:ascii="Times New Roman" w:eastAsia="Times New Roman" w:hAnsi="Times New Roman" w:cs="Times New Roman"/>
      <w:b w:val="0"/>
      <w:bCs w:val="0"/>
      <w:i/>
      <w:iCs/>
      <w:smallCaps w:val="0"/>
      <w:strike w:val="0"/>
      <w:spacing w:val="0"/>
      <w:sz w:val="23"/>
      <w:szCs w:val="23"/>
    </w:rPr>
  </w:style>
  <w:style w:type="paragraph" w:customStyle="1" w:styleId="Bodytext110">
    <w:name w:val="Body text (11)"/>
    <w:basedOn w:val="Normal"/>
    <w:link w:val="Bodytext11"/>
    <w:rsid w:val="0035415A"/>
    <w:pPr>
      <w:shd w:val="clear" w:color="auto" w:fill="FFFFFF"/>
      <w:spacing w:line="554" w:lineRule="exact"/>
      <w:jc w:val="both"/>
    </w:pPr>
    <w:rPr>
      <w:rFonts w:ascii="Times New Roman" w:hAnsi="Times New Roman"/>
      <w:sz w:val="23"/>
      <w:szCs w:val="23"/>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66532">
      <w:bodyDiv w:val="1"/>
      <w:marLeft w:val="0"/>
      <w:marRight w:val="0"/>
      <w:marTop w:val="0"/>
      <w:marBottom w:val="0"/>
      <w:divBdr>
        <w:top w:val="none" w:sz="0" w:space="0" w:color="auto"/>
        <w:left w:val="none" w:sz="0" w:space="0" w:color="auto"/>
        <w:bottom w:val="none" w:sz="0" w:space="0" w:color="auto"/>
        <w:right w:val="none" w:sz="0" w:space="0" w:color="auto"/>
      </w:divBdr>
    </w:div>
    <w:div w:id="805049205">
      <w:bodyDiv w:val="1"/>
      <w:marLeft w:val="0"/>
      <w:marRight w:val="0"/>
      <w:marTop w:val="0"/>
      <w:marBottom w:val="0"/>
      <w:divBdr>
        <w:top w:val="none" w:sz="0" w:space="0" w:color="auto"/>
        <w:left w:val="none" w:sz="0" w:space="0" w:color="auto"/>
        <w:bottom w:val="none" w:sz="0" w:space="0" w:color="auto"/>
        <w:right w:val="none" w:sz="0" w:space="0" w:color="auto"/>
      </w:divBdr>
    </w:div>
    <w:div w:id="1691105545">
      <w:bodyDiv w:val="1"/>
      <w:marLeft w:val="0"/>
      <w:marRight w:val="0"/>
      <w:marTop w:val="0"/>
      <w:marBottom w:val="0"/>
      <w:divBdr>
        <w:top w:val="none" w:sz="0" w:space="0" w:color="auto"/>
        <w:left w:val="none" w:sz="0" w:space="0" w:color="auto"/>
        <w:bottom w:val="none" w:sz="0" w:space="0" w:color="auto"/>
        <w:right w:val="none" w:sz="0" w:space="0" w:color="auto"/>
      </w:divBdr>
      <w:divsChild>
        <w:div w:id="463229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32371-592E-4283-BDD4-530BFD483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7</Pages>
  <Words>2018</Words>
  <Characters>11591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vt:lpstr>
    </vt:vector>
  </TitlesOfParts>
  <Company>Grizli777</Company>
  <LinksUpToDate>false</LinksUpToDate>
  <CharactersWithSpaces>13582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a.toteva</dc:creator>
  <cp:keywords/>
  <cp:lastModifiedBy>Стефан Пеев</cp:lastModifiedBy>
  <cp:revision>157</cp:revision>
  <cp:lastPrinted>2017-08-22T13:21:00Z</cp:lastPrinted>
  <dcterms:created xsi:type="dcterms:W3CDTF">2017-08-18T13:43:00Z</dcterms:created>
  <dcterms:modified xsi:type="dcterms:W3CDTF">2017-10-11T13:07:00Z</dcterms:modified>
</cp:coreProperties>
</file>